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color w:val="auto"/>
          <w:sz w:val="32"/>
          <w:szCs w:val="32"/>
          <w:lang w:val="en-US" w:eastAsia="zh-CN"/>
        </w:rPr>
      </w:pPr>
      <w:r>
        <w:rPr>
          <w:rFonts w:hint="eastAsia"/>
          <w:b/>
          <w:bCs/>
          <w:sz w:val="32"/>
          <w:szCs w:val="32"/>
          <w:lang w:eastAsia="zh-CN"/>
        </w:rPr>
        <w:t>定远能仁寺项目建设大事记</w:t>
      </w:r>
    </w:p>
    <w:p>
      <w:pPr>
        <w:widowControl/>
        <w:numPr>
          <w:ilvl w:val="0"/>
          <w:numId w:val="0"/>
        </w:numPr>
        <w:jc w:val="left"/>
        <w:rPr>
          <w:rFonts w:hint="eastAsia" w:ascii="仿宋_GB2312" w:hAnsi="仿宋_GB2312" w:eastAsia="仿宋_GB2312" w:cs="仿宋_GB2312"/>
          <w:b/>
          <w:bCs/>
          <w:kern w:val="2"/>
          <w:sz w:val="32"/>
          <w:szCs w:val="32"/>
          <w:lang w:val="en-US" w:eastAsia="zh-CN"/>
        </w:rPr>
      </w:pPr>
      <w:r>
        <w:rPr>
          <w:rFonts w:hint="eastAsia" w:ascii="仿宋_GB2312" w:hAnsi="仿宋_GB2312" w:eastAsia="仿宋_GB2312" w:cs="仿宋_GB2312"/>
          <w:b/>
          <w:bCs/>
          <w:kern w:val="2"/>
          <w:sz w:val="32"/>
          <w:szCs w:val="32"/>
          <w:lang w:val="en-US" w:eastAsia="zh-CN"/>
        </w:rPr>
        <w:t>工程概况：</w:t>
      </w:r>
    </w:p>
    <w:p>
      <w:pPr>
        <w:ind w:firstLine="640" w:firstLineChars="200"/>
        <w:rPr>
          <w:rFonts w:hint="default" w:ascii="仿宋_GB2312" w:hAnsi="仿宋_GB2312" w:eastAsia="仿宋_GB2312" w:cs="仿宋_GB2312"/>
          <w:kern w:val="2"/>
          <w:sz w:val="32"/>
          <w:szCs w:val="32"/>
          <w:lang w:val="en-US" w:eastAsia="zh-CN"/>
        </w:rPr>
      </w:pPr>
      <w:r>
        <w:rPr>
          <w:rFonts w:hint="default" w:ascii="仿宋_GB2312" w:hAnsi="仿宋_GB2312" w:eastAsia="仿宋_GB2312" w:cs="仿宋_GB2312"/>
          <w:kern w:val="2"/>
          <w:sz w:val="32"/>
          <w:szCs w:val="32"/>
          <w:lang w:val="en-US" w:eastAsia="zh-CN"/>
        </w:rPr>
        <w:t>安徽龙源定远能仁寺风电场位于</w:t>
      </w:r>
      <w:r>
        <w:rPr>
          <w:rFonts w:hint="eastAsia" w:ascii="仿宋_GB2312" w:hAnsi="仿宋_GB2312" w:eastAsia="仿宋_GB2312" w:cs="仿宋_GB2312"/>
          <w:kern w:val="2"/>
          <w:sz w:val="32"/>
          <w:szCs w:val="32"/>
          <w:lang w:val="en-US" w:eastAsia="zh-CN"/>
        </w:rPr>
        <w:t>拟建定远二期风电场位于定远县城西北35km处，场区内的海拔在100～210米之间，占地面积约40km</w:t>
      </w:r>
      <w:r>
        <w:rPr>
          <w:rFonts w:hint="eastAsia" w:ascii="仿宋_GB2312" w:hAnsi="仿宋_GB2312" w:eastAsia="仿宋_GB2312" w:cs="仿宋_GB2312"/>
          <w:kern w:val="2"/>
          <w:sz w:val="32"/>
          <w:szCs w:val="32"/>
          <w:vertAlign w:val="superscript"/>
          <w:lang w:val="en-US" w:eastAsia="zh-CN"/>
        </w:rPr>
        <w:t>2</w:t>
      </w:r>
      <w:r>
        <w:rPr>
          <w:rFonts w:hint="eastAsia" w:ascii="仿宋_GB2312" w:hAnsi="仿宋_GB2312" w:eastAsia="仿宋_GB2312" w:cs="仿宋_GB2312"/>
          <w:kern w:val="2"/>
          <w:sz w:val="32"/>
          <w:szCs w:val="32"/>
          <w:lang w:val="en-US" w:eastAsia="zh-CN"/>
        </w:rPr>
        <w:t>，风电场中心坐标为E117°21′，N32°39′。风场内部分区域山顶有少量开荒地，风场四周少量紧邻村庄，区域周边有小量林耕地。风电场总</w:t>
      </w:r>
      <w:r>
        <w:rPr>
          <w:rFonts w:hint="default" w:ascii="仿宋_GB2312" w:hAnsi="仿宋_GB2312" w:eastAsia="仿宋_GB2312" w:cs="仿宋_GB2312"/>
          <w:kern w:val="2"/>
          <w:sz w:val="32"/>
          <w:szCs w:val="32"/>
          <w:lang w:val="en-US" w:eastAsia="zh-CN"/>
        </w:rPr>
        <w:t>装机容量为 48.3MW，风电场安装23台单机容量为2100kW的风电机组。</w:t>
      </w:r>
    </w:p>
    <w:p>
      <w:pPr>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年上网电量约为</w:t>
      </w:r>
      <w:r>
        <w:rPr>
          <w:rFonts w:hint="eastAsia" w:ascii="仿宋_GB2312" w:hAnsi="仿宋_GB2312" w:eastAsia="仿宋_GB2312" w:cs="仿宋_GB2312"/>
          <w:kern w:val="2"/>
          <w:sz w:val="32"/>
          <w:szCs w:val="32"/>
          <w:highlight w:val="none"/>
          <w:lang w:val="en-US" w:eastAsia="zh-CN"/>
        </w:rPr>
        <w:t>9330</w:t>
      </w:r>
      <w:r>
        <w:rPr>
          <w:rFonts w:hint="eastAsia" w:ascii="仿宋_GB2312" w:hAnsi="仿宋_GB2312" w:eastAsia="仿宋_GB2312" w:cs="仿宋_GB2312"/>
          <w:kern w:val="2"/>
          <w:sz w:val="32"/>
          <w:szCs w:val="32"/>
          <w:lang w:val="en-US" w:eastAsia="zh-CN"/>
        </w:rPr>
        <w:t>万kW·h，建设工期为15个月。本项目总投资42524万元，动态总投资42378.97万元，单位千瓦动态投资8774.11元/kW；静态总投资41303.85万元，单位千瓦静态投资 8551.52元/kW。</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kern w:val="2"/>
          <w:sz w:val="32"/>
          <w:szCs w:val="32"/>
          <w:lang w:val="en-US" w:eastAsia="zh-CN"/>
        </w:rPr>
        <w:t>2016年3月，主体水土保持工程开工，主要工程量包括风机与场内道路表土剥离恢复、土质排水沟及部分路段浆砌石排水沟施工，机位平台撒播草籽等，中标单位为滁州市宏图建设有限公司，合同金额288.5万元，后期为提升风电场植被恢复水平，龙源集团公司批复本项目水土保持及生态恢复工程专项概算1224万元，工程于2018年10月开工，主要施工内容包括风机平台周边浆砌石与覆土绿化、边坡修整、机位平台碎石料及垃圾清运、场内道路排水沟挡墙、沉砂池、植生袋护坡、三维网喷播植草绿化及原有道路修整绿化、植物种植等。中标单位为</w:t>
      </w:r>
      <w:r>
        <w:rPr>
          <w:rFonts w:hint="eastAsia"/>
          <w:bCs/>
          <w:sz w:val="30"/>
          <w:szCs w:val="30"/>
          <w:lang w:eastAsia="zh-CN"/>
        </w:rPr>
        <w:t>滁州市中远建筑安装工程有限公司，合同金额</w:t>
      </w:r>
      <w:r>
        <w:rPr>
          <w:rFonts w:hint="eastAsia"/>
          <w:bCs/>
          <w:sz w:val="30"/>
          <w:szCs w:val="30"/>
          <w:lang w:val="en-US" w:eastAsia="zh-CN"/>
        </w:rPr>
        <w:t>837.9万元。</w:t>
      </w:r>
    </w:p>
    <w:tbl>
      <w:tblPr>
        <w:tblStyle w:val="4"/>
        <w:tblpPr w:leftFromText="180" w:rightFromText="180" w:vertAnchor="page" w:horzAnchor="margin" w:tblpXSpec="center" w:tblpY="2377"/>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9"/>
        <w:gridCol w:w="6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1" w:hRule="exact"/>
        </w:trPr>
        <w:tc>
          <w:tcPr>
            <w:tcW w:w="2299" w:type="dxa"/>
            <w:vAlign w:val="center"/>
          </w:tcPr>
          <w:p>
            <w:pPr>
              <w:snapToGrid w:val="0"/>
              <w:jc w:val="center"/>
              <w:rPr>
                <w:rFonts w:hint="eastAsia" w:eastAsia="黑体"/>
                <w:sz w:val="30"/>
                <w:szCs w:val="30"/>
                <w:lang w:val="en-US" w:eastAsia="zh-CN"/>
              </w:rPr>
            </w:pPr>
            <w:r>
              <w:rPr>
                <w:rFonts w:eastAsia="黑体"/>
                <w:sz w:val="30"/>
                <w:szCs w:val="30"/>
              </w:rPr>
              <w:t>项目名称</w:t>
            </w:r>
            <w:r>
              <w:rPr>
                <w:rFonts w:hint="eastAsia" w:eastAsia="黑体"/>
                <w:sz w:val="30"/>
                <w:szCs w:val="30"/>
                <w:lang w:val="en-US" w:eastAsia="zh-CN"/>
              </w:rPr>
              <w:t>/代码</w:t>
            </w:r>
          </w:p>
        </w:tc>
        <w:tc>
          <w:tcPr>
            <w:tcW w:w="6987" w:type="dxa"/>
            <w:vAlign w:val="center"/>
          </w:tcPr>
          <w:p>
            <w:pPr>
              <w:snapToGrid w:val="0"/>
              <w:jc w:val="center"/>
              <w:rPr>
                <w:rFonts w:hint="default" w:eastAsia="宋体"/>
                <w:bCs/>
                <w:sz w:val="30"/>
                <w:szCs w:val="30"/>
                <w:lang w:val="en-US" w:eastAsia="zh-CN"/>
              </w:rPr>
            </w:pPr>
            <w:r>
              <w:rPr>
                <w:rFonts w:hint="eastAsia"/>
                <w:bCs/>
                <w:sz w:val="30"/>
                <w:szCs w:val="30"/>
              </w:rPr>
              <w:t>安徽</w:t>
            </w:r>
            <w:r>
              <w:rPr>
                <w:rFonts w:hint="eastAsia"/>
                <w:bCs/>
                <w:sz w:val="30"/>
                <w:szCs w:val="30"/>
                <w:lang w:eastAsia="zh-CN"/>
              </w:rPr>
              <w:t>定远能仁寺</w:t>
            </w:r>
            <w:r>
              <w:rPr>
                <w:rFonts w:hint="eastAsia"/>
                <w:bCs/>
                <w:sz w:val="30"/>
                <w:szCs w:val="30"/>
              </w:rPr>
              <w:t>48.3MW风电项目水土保持工程</w:t>
            </w:r>
            <w:r>
              <w:rPr>
                <w:rFonts w:hint="eastAsia"/>
                <w:bCs/>
                <w:sz w:val="30"/>
                <w:szCs w:val="30"/>
                <w:lang w:val="en-US" w:eastAsia="zh-CN"/>
              </w:rPr>
              <w:t>2017-341125-44-02-012521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2299" w:type="dxa"/>
            <w:vAlign w:val="center"/>
          </w:tcPr>
          <w:p>
            <w:pPr>
              <w:snapToGrid w:val="0"/>
              <w:jc w:val="center"/>
              <w:rPr>
                <w:rFonts w:hint="eastAsia" w:eastAsia="宋体"/>
                <w:sz w:val="30"/>
                <w:szCs w:val="30"/>
                <w:lang w:eastAsia="zh-CN"/>
              </w:rPr>
            </w:pPr>
            <w:r>
              <w:rPr>
                <w:rFonts w:hint="eastAsia" w:eastAsia="黑体"/>
                <w:sz w:val="30"/>
                <w:szCs w:val="30"/>
                <w:lang w:eastAsia="zh-CN"/>
              </w:rPr>
              <w:t>建设单位</w:t>
            </w:r>
          </w:p>
        </w:tc>
        <w:tc>
          <w:tcPr>
            <w:tcW w:w="6987" w:type="dxa"/>
            <w:vAlign w:val="center"/>
          </w:tcPr>
          <w:p>
            <w:pPr>
              <w:snapToGrid w:val="0"/>
              <w:jc w:val="center"/>
              <w:rPr>
                <w:rFonts w:hint="eastAsia" w:eastAsia="宋体"/>
                <w:bCs/>
                <w:sz w:val="30"/>
                <w:szCs w:val="30"/>
                <w:lang w:eastAsia="zh-CN"/>
              </w:rPr>
            </w:pPr>
            <w:r>
              <w:rPr>
                <w:rFonts w:hint="eastAsia"/>
                <w:bCs/>
                <w:sz w:val="30"/>
                <w:szCs w:val="30"/>
                <w:lang w:eastAsia="zh-CN"/>
              </w:rPr>
              <w:t>龙源定远风力发电有限公司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2299" w:type="dxa"/>
            <w:vAlign w:val="center"/>
          </w:tcPr>
          <w:p>
            <w:pPr>
              <w:snapToGrid w:val="0"/>
              <w:jc w:val="center"/>
              <w:rPr>
                <w:rFonts w:hint="eastAsia" w:eastAsia="黑体"/>
                <w:sz w:val="30"/>
                <w:szCs w:val="30"/>
                <w:lang w:eastAsia="zh-CN"/>
              </w:rPr>
            </w:pPr>
            <w:r>
              <w:rPr>
                <w:rFonts w:hint="eastAsia" w:eastAsia="黑体"/>
                <w:sz w:val="30"/>
                <w:szCs w:val="30"/>
                <w:lang w:eastAsia="zh-CN"/>
              </w:rPr>
              <w:t>设计单位</w:t>
            </w:r>
          </w:p>
        </w:tc>
        <w:tc>
          <w:tcPr>
            <w:tcW w:w="6987" w:type="dxa"/>
            <w:vAlign w:val="center"/>
          </w:tcPr>
          <w:p>
            <w:pPr>
              <w:snapToGrid w:val="0"/>
              <w:jc w:val="center"/>
              <w:rPr>
                <w:rFonts w:hint="eastAsia"/>
                <w:bCs/>
                <w:sz w:val="30"/>
                <w:szCs w:val="30"/>
                <w:lang w:eastAsia="zh-CN"/>
              </w:rPr>
            </w:pPr>
            <w:r>
              <w:rPr>
                <w:rFonts w:hint="eastAsia"/>
                <w:bCs/>
                <w:sz w:val="30"/>
                <w:szCs w:val="30"/>
                <w:lang w:eastAsia="zh-CN"/>
              </w:rPr>
              <w:t>扬州市勘测设计研究院有限公司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2299" w:type="dxa"/>
            <w:vAlign w:val="center"/>
          </w:tcPr>
          <w:p>
            <w:pPr>
              <w:snapToGrid w:val="0"/>
              <w:jc w:val="center"/>
              <w:rPr>
                <w:rFonts w:hint="eastAsia" w:eastAsia="宋体"/>
                <w:sz w:val="30"/>
                <w:szCs w:val="30"/>
                <w:lang w:eastAsia="zh-CN"/>
              </w:rPr>
            </w:pPr>
            <w:r>
              <w:rPr>
                <w:rFonts w:hint="eastAsia" w:eastAsia="黑体"/>
                <w:sz w:val="30"/>
                <w:szCs w:val="30"/>
                <w:lang w:eastAsia="zh-CN"/>
              </w:rPr>
              <w:t>施工单位</w:t>
            </w:r>
          </w:p>
        </w:tc>
        <w:tc>
          <w:tcPr>
            <w:tcW w:w="6987" w:type="dxa"/>
            <w:vAlign w:val="center"/>
          </w:tcPr>
          <w:p>
            <w:pPr>
              <w:snapToGrid w:val="0"/>
              <w:jc w:val="center"/>
              <w:rPr>
                <w:rFonts w:hint="default"/>
                <w:bCs/>
                <w:sz w:val="30"/>
                <w:szCs w:val="30"/>
                <w:lang w:val="en-US" w:eastAsia="zh-CN"/>
              </w:rPr>
            </w:pPr>
            <w:r>
              <w:rPr>
                <w:rFonts w:hint="eastAsia"/>
                <w:bCs/>
                <w:sz w:val="30"/>
                <w:szCs w:val="30"/>
                <w:lang w:eastAsia="zh-CN"/>
              </w:rPr>
              <w:t>滁州市中远建筑安装工程有限公司</w:t>
            </w:r>
            <w:r>
              <w:rPr>
                <w:rFonts w:hint="eastAsia"/>
                <w:bCs/>
                <w:sz w:val="30"/>
                <w:szCs w:val="30"/>
                <w:lang w:val="en-US" w:eastAsia="zh-CN"/>
              </w:rPr>
              <w:t>2018.10-2020.6</w:t>
            </w:r>
          </w:p>
          <w:p>
            <w:pPr>
              <w:snapToGrid w:val="0"/>
              <w:jc w:val="center"/>
              <w:rPr>
                <w:rFonts w:hint="default"/>
                <w:lang w:val="en-US"/>
              </w:rPr>
            </w:pPr>
            <w:r>
              <w:rPr>
                <w:rFonts w:hint="eastAsia"/>
                <w:bCs/>
                <w:sz w:val="30"/>
                <w:szCs w:val="30"/>
                <w:lang w:eastAsia="zh-CN"/>
              </w:rPr>
              <w:t>滁州市宏图建设有限公司</w:t>
            </w:r>
            <w:r>
              <w:rPr>
                <w:rFonts w:hint="eastAsia"/>
                <w:bCs/>
                <w:sz w:val="30"/>
                <w:szCs w:val="30"/>
                <w:lang w:val="en-US" w:eastAsia="zh-CN"/>
              </w:rPr>
              <w:t>2016.3-9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2299" w:type="dxa"/>
            <w:vAlign w:val="center"/>
          </w:tcPr>
          <w:p>
            <w:pPr>
              <w:snapToGrid w:val="0"/>
              <w:jc w:val="center"/>
              <w:rPr>
                <w:rFonts w:hint="eastAsia" w:eastAsia="宋体"/>
                <w:sz w:val="30"/>
                <w:szCs w:val="30"/>
                <w:lang w:eastAsia="zh-CN"/>
              </w:rPr>
            </w:pPr>
            <w:r>
              <w:rPr>
                <w:rFonts w:hint="eastAsia" w:eastAsia="黑体"/>
                <w:sz w:val="30"/>
                <w:szCs w:val="30"/>
                <w:lang w:eastAsia="zh-CN"/>
              </w:rPr>
              <w:t>验收单位</w:t>
            </w:r>
          </w:p>
        </w:tc>
        <w:tc>
          <w:tcPr>
            <w:tcW w:w="6987" w:type="dxa"/>
            <w:vAlign w:val="center"/>
          </w:tcPr>
          <w:p>
            <w:pPr>
              <w:snapToGrid w:val="0"/>
              <w:jc w:val="center"/>
              <w:rPr>
                <w:bCs/>
                <w:sz w:val="28"/>
                <w:szCs w:val="28"/>
              </w:rPr>
            </w:pPr>
            <w:r>
              <w:rPr>
                <w:rFonts w:hint="eastAsia"/>
                <w:bCs/>
                <w:sz w:val="28"/>
                <w:szCs w:val="28"/>
                <w:lang w:eastAsia="zh-CN"/>
              </w:rPr>
              <w:t>安徽禾美环保集团有限公司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2299" w:type="dxa"/>
            <w:vAlign w:val="center"/>
          </w:tcPr>
          <w:p>
            <w:pPr>
              <w:snapToGrid w:val="0"/>
              <w:jc w:val="center"/>
              <w:rPr>
                <w:rFonts w:hint="eastAsia" w:eastAsia="宋体"/>
                <w:sz w:val="30"/>
                <w:szCs w:val="30"/>
                <w:lang w:eastAsia="zh-CN"/>
              </w:rPr>
            </w:pPr>
            <w:r>
              <w:rPr>
                <w:rFonts w:hint="eastAsia" w:eastAsia="黑体"/>
                <w:sz w:val="30"/>
                <w:szCs w:val="30"/>
                <w:lang w:eastAsia="zh-CN"/>
              </w:rPr>
              <w:t>监测单位</w:t>
            </w:r>
          </w:p>
        </w:tc>
        <w:tc>
          <w:tcPr>
            <w:tcW w:w="6987" w:type="dxa"/>
            <w:vAlign w:val="center"/>
          </w:tcPr>
          <w:p>
            <w:pPr>
              <w:snapToGrid w:val="0"/>
              <w:jc w:val="center"/>
              <w:rPr>
                <w:rFonts w:hint="eastAsia" w:eastAsia="宋体"/>
                <w:bCs/>
                <w:sz w:val="28"/>
                <w:szCs w:val="28"/>
                <w:lang w:eastAsia="zh-CN"/>
              </w:rPr>
            </w:pPr>
            <w:r>
              <w:rPr>
                <w:rFonts w:hint="eastAsia"/>
                <w:bCs/>
                <w:sz w:val="28"/>
                <w:szCs w:val="28"/>
                <w:lang w:eastAsia="zh-CN"/>
              </w:rPr>
              <w:t>安徽省（水利部淮河水利委员会）水利科学研究院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2299" w:type="dxa"/>
            <w:vAlign w:val="center"/>
          </w:tcPr>
          <w:p>
            <w:pPr>
              <w:snapToGrid w:val="0"/>
              <w:jc w:val="center"/>
              <w:rPr>
                <w:rFonts w:hint="eastAsia" w:eastAsia="宋体"/>
                <w:sz w:val="30"/>
                <w:szCs w:val="30"/>
                <w:lang w:eastAsia="zh-CN"/>
              </w:rPr>
            </w:pPr>
            <w:r>
              <w:rPr>
                <w:rFonts w:hint="eastAsia" w:eastAsia="黑体"/>
                <w:sz w:val="30"/>
                <w:szCs w:val="30"/>
                <w:lang w:eastAsia="zh-CN"/>
              </w:rPr>
              <w:t>监理单位</w:t>
            </w:r>
          </w:p>
        </w:tc>
        <w:tc>
          <w:tcPr>
            <w:tcW w:w="6987" w:type="dxa"/>
            <w:vAlign w:val="center"/>
          </w:tcPr>
          <w:p>
            <w:pPr>
              <w:snapToGrid w:val="0"/>
              <w:jc w:val="center"/>
              <w:rPr>
                <w:rFonts w:hint="eastAsia" w:eastAsia="宋体"/>
                <w:bCs/>
                <w:sz w:val="28"/>
                <w:szCs w:val="28"/>
                <w:lang w:eastAsia="zh-CN"/>
              </w:rPr>
            </w:pPr>
            <w:r>
              <w:rPr>
                <w:rFonts w:hint="eastAsia"/>
                <w:bCs/>
                <w:sz w:val="28"/>
                <w:szCs w:val="28"/>
                <w:lang w:eastAsia="zh-CN"/>
              </w:rPr>
              <w:t>中外天利（北京）工程管理咨询有限公司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2299" w:type="dxa"/>
            <w:vAlign w:val="center"/>
          </w:tcPr>
          <w:p>
            <w:pPr>
              <w:snapToGrid w:val="0"/>
              <w:jc w:val="center"/>
              <w:rPr>
                <w:rFonts w:hint="eastAsia" w:eastAsia="黑体"/>
                <w:sz w:val="30"/>
                <w:szCs w:val="30"/>
                <w:lang w:eastAsia="zh-CN"/>
              </w:rPr>
            </w:pPr>
            <w:r>
              <w:rPr>
                <w:rFonts w:hint="eastAsia" w:eastAsia="黑体"/>
                <w:sz w:val="30"/>
                <w:szCs w:val="30"/>
                <w:lang w:eastAsia="zh-CN"/>
              </w:rPr>
              <w:t>水保补偿费</w:t>
            </w:r>
          </w:p>
        </w:tc>
        <w:tc>
          <w:tcPr>
            <w:tcW w:w="6987" w:type="dxa"/>
            <w:vAlign w:val="center"/>
          </w:tcPr>
          <w:p>
            <w:pPr>
              <w:snapToGrid w:val="0"/>
              <w:jc w:val="center"/>
              <w:rPr>
                <w:rFonts w:hint="default" w:eastAsia="宋体"/>
                <w:bCs/>
                <w:sz w:val="28"/>
                <w:szCs w:val="28"/>
                <w:lang w:val="en-US" w:eastAsia="zh-CN"/>
              </w:rPr>
            </w:pPr>
            <w:r>
              <w:rPr>
                <w:rFonts w:hint="eastAsia"/>
                <w:bCs/>
                <w:sz w:val="28"/>
                <w:szCs w:val="28"/>
                <w:lang w:val="en-US" w:eastAsia="zh-CN"/>
              </w:rPr>
              <w:t>20.11万元</w:t>
            </w:r>
          </w:p>
        </w:tc>
      </w:tr>
    </w:tbl>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一、项目合规文件</w:t>
      </w:r>
    </w:p>
    <w:p>
      <w:pPr>
        <w:spacing w:line="50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1、2013年12月16日，安徽省国土资源厅下达《关于定远县能仁寺风电场项目建设用地预审备案的函》（皖国土资函【2013】1951号）同意《关于定远县能仁寺风电场项目建设用地预备审案的请示》（ 滁国土资[2013] 538号）。</w:t>
      </w:r>
    </w:p>
    <w:p>
      <w:pPr>
        <w:spacing w:line="50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2013年12月23日，安徽省环境保护厅下达《关于安徽定远能仁寺48.3MW风电项目环境影响报告表审批意见的函》（皖环函【2013】1538号）对本项目的环评审批意见，“项目符合国家产业政策和当地规划，在全面落实各项生态保护和污染防治措施的情况下，同意该项目建设。”</w:t>
      </w:r>
    </w:p>
    <w:p>
      <w:pPr>
        <w:spacing w:line="50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3、2013年12月13日，安徽省水利厅下达《关于定远能仁寺48.3兆瓦风电项目水土保持方案报告书的批复》（皖水保函【2013】1718号），估算水土保持估算总投资为322.58万元。</w:t>
      </w:r>
    </w:p>
    <w:p>
      <w:pPr>
        <w:spacing w:line="50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4、2013年12月19日，国网安徽省电力公司下达《关于龙源定远能仁寺风电场项目接入电网意见的函》（皖电函2013[234]号），同意该项目48.3兆瓦机组接入安徽电网。</w:t>
      </w:r>
    </w:p>
    <w:p>
      <w:pPr>
        <w:spacing w:line="50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5、2013年11月12日，定远县规划局下发建设项目选址意见书（选字第341125201300069）。</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6、2013年12月27日，安徽省发展改革委以《关于龙源定远县能仁寺风电场项目核准的批复》（皖发改能源函[2013]1521号）对项目进行了核准批复，核准项目动态总投资43,580.00万元。</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二、主体工程建设情况</w:t>
      </w:r>
    </w:p>
    <w:p>
      <w:pPr>
        <w:spacing w:line="50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本项目装机容量为48.3MW，安装2100kW风力发电机组23台；建设一座 220kV 升压站，主变为一台容量150MVA变压器本项目经场内35kV集电线路将风机所发电能汇集直接接入一期建设的220kV变电站，以220kV送出线路（暂定LGJ－300） 送入系统的官塘变220kV变电站220kV侧，直线距离约 15km。具体主要包括以下单位工程：</w:t>
      </w:r>
    </w:p>
    <w:p>
      <w:pPr>
        <w:spacing w:line="50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风电场承台及箱变基础工程：风力发电机组基础施工，主要包括风力发电机组基础及箱变基础的开挖、浇筑及回填，电缆和光缆通道的预留。基础开挖过程中，首先采用挖掘机，进行设计基底高程200mm上土层的清理，人工修整基坑和边坡；开挖土方沿坑槽周边堆放或用汽车运到规划的指定地点。基槽开挖完工后，应清理干净，进行基槽验收，根据不同地质情况分别采取措施进行处理。</w:t>
      </w:r>
    </w:p>
    <w:p>
      <w:pPr>
        <w:spacing w:line="50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2、升压站新建及电气安装工程：本期能仁寺工程接入一期凤阳曹店建好的 220kV 升压站。升压站 220kV高压侧为线路-变压器组接线， 35kV 低压侧为单母线接线。升压站配置一台主变，型号为SFZ10-150000，主变容量为 150MVA，为三期共用。风电场的上网电量计量点升压站 220kV 出线侧。</w:t>
      </w:r>
    </w:p>
    <w:p>
      <w:pPr>
        <w:spacing w:line="50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3、35KV集电线路工程：电力电缆风力发电机组控制柜至 35kV 升压变压器低压侧（ 0.69kV）的线路采用 6 根 YJY23－ 3×240+1 ×120、 1kV 电缆并联直埋敷设；场内集电线路采用全电缆直埋线路， 型号分别为 YJY23－ 3×95， YJY23－3×120， YJY23－ 3×240。</w:t>
      </w:r>
    </w:p>
    <w:p>
      <w:pPr>
        <w:spacing w:line="50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4、66kv送电线路工程：本设计拟选架空线路为主，直埋电力电缆为辅的设计方案。从每一个发电机组到变电所的输电线路为架空电线， 条件受限时采用直埋电缆。线杆按照有关规定安装合格后，即可分区分组架设电线。从每一个发电机组到变电所的输电线路为架空电线， 每个机组附近设一个架线基杆。线杆按照有关规定安装合格后，即可分区分组架设电线。架空段的场内集电线路施工： 先进行埋杆，后进行架线分段施工分段验收。每段线路要求在本段箱变安装前完成， 确保机组的试运行。</w:t>
      </w:r>
    </w:p>
    <w:p>
      <w:pPr>
        <w:spacing w:line="50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5、风电机组及箱变工程：风力发电机为单机容量为 2100kW 国产化常温型机组，共23台，90米轮毂高度，型号为WTG2-2100，采用双馈发电机，额定容量 2100kW，额定电压 0.69kV。功率因数可调节范围－0.95～+0.95，可在线调节。</w:t>
      </w:r>
    </w:p>
    <w:p>
      <w:pPr>
        <w:spacing w:line="500" w:lineRule="exact"/>
        <w:ind w:firstLine="640" w:firstLineChars="200"/>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风电场内道路及风电机吊装场地平整工程：定远乡村公路可作为进入风电场的主要道路，局部进行改、扩建以满足运输要求。风电场的施工及检修道路同永久道路一同考虑，按通向各机位修建。在风电场中沿风力发电机组沿线修建干道，再由干道修建通向各机位的支路。风电场内部分道路设置在山脊上，道路的最大坡度不超过10%，在尖转弯角最大坡度为8%，转弯最小半径为35m沿各风机位尽量利用原有的乡间小路进行扩宽裁弯取直。</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三、项目建设大事记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highlight w:val="none"/>
        </w:rPr>
        <w:t>风电场场内道路</w:t>
      </w:r>
      <w:r>
        <w:rPr>
          <w:rFonts w:hint="eastAsia" w:ascii="仿宋_GB2312" w:hAnsi="仿宋_GB2312" w:eastAsia="仿宋_GB2312" w:cs="仿宋_GB2312"/>
          <w:color w:val="auto"/>
          <w:sz w:val="32"/>
          <w:szCs w:val="32"/>
          <w:highlight w:val="none"/>
          <w:lang w:eastAsia="zh-CN"/>
        </w:rPr>
        <w:t>工程</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2014年4月18日开工</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2014年10</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20日路基、路面全部</w:t>
      </w:r>
      <w:r>
        <w:rPr>
          <w:rFonts w:hint="eastAsia" w:ascii="仿宋_GB2312" w:hAnsi="仿宋_GB2312" w:eastAsia="仿宋_GB2312" w:cs="仿宋_GB2312"/>
          <w:color w:val="auto"/>
          <w:sz w:val="32"/>
          <w:szCs w:val="32"/>
          <w:highlight w:val="none"/>
        </w:rPr>
        <w:t>完成。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2.风机基础箱变基础工程：2014年5月18日开工，分两个作业面施工，2014年12月30日最后一基风机基础浇筑完成。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3.35kV场区配电工程：工程于2014年6月10日，2015年4月20日全部完工。3条配电线路全部采用直埋电缆形式接入升压站35kV开关柜侧，线路总长49.749km，电缆敷设长度55.3km。</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4.风机安装工程：工程于2014年8月10日开工，2015年5月25日完成最后一台风机吊装。风机调试于2014年11月12日开工，2015年5月30日调试全部完成。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5.2014年11月15日至11月16日，由中能电力科技开发有限公司组织升压站授电及首批风机并网前验收，风电场已具备升压站授电及首批风机并网条件。</w:t>
      </w:r>
    </w:p>
    <w:p>
      <w:pPr>
        <w:spacing w:line="50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6.2016年7月6日，安徽省电力建设工程质量监督中心站出具《定远能仁寺风电场项目整套启动试运前质量监督检查专家意见书》，本项目整套启动试运前的调整、试运等各项工作已经完成，工程已具备整体启动条件。</w:t>
      </w:r>
    </w:p>
    <w:p>
      <w:pPr>
        <w:spacing w:line="50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7.2016年3月-9月，本项目水土保持施工工程虽主体工程同步开展。</w:t>
      </w:r>
    </w:p>
    <w:p>
      <w:pPr>
        <w:spacing w:line="50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8.2018年6月，经龙源电力批准，定远能仁寺项目开始水土保持及生态恢复工程设计及评审工作。</w:t>
      </w:r>
    </w:p>
    <w:p>
      <w:pPr>
        <w:spacing w:line="500" w:lineRule="exact"/>
        <w:ind w:firstLine="640" w:firstLineChars="20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9.2018年11月-2020年6月，本项目水土保持及生态恢复工程完</w:t>
      </w:r>
      <w:bookmarkStart w:id="0" w:name="_GoBack"/>
      <w:bookmarkEnd w:id="0"/>
      <w:r>
        <w:rPr>
          <w:rFonts w:hint="eastAsia" w:ascii="仿宋_GB2312" w:hAnsi="仿宋_GB2312" w:eastAsia="仿宋_GB2312" w:cs="仿宋_GB2312"/>
          <w:color w:val="auto"/>
          <w:sz w:val="32"/>
          <w:szCs w:val="32"/>
          <w:highlight w:val="none"/>
          <w:lang w:val="en-US" w:eastAsia="zh-CN"/>
        </w:rPr>
        <w:t>工。</w:t>
      </w: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F36E74"/>
    <w:rsid w:val="057221D0"/>
    <w:rsid w:val="4BA847C7"/>
    <w:rsid w:val="78652032"/>
    <w:rsid w:val="79F36E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annotation text"/>
    <w:basedOn w:val="1"/>
    <w:unhideWhenUsed/>
    <w:qFormat/>
    <w:uiPriority w:val="99"/>
    <w:pPr>
      <w:jc w:val="left"/>
    </w:pPr>
  </w:style>
  <w:style w:type="character" w:styleId="6">
    <w:name w:val="annotation reference"/>
    <w:unhideWhenUsed/>
    <w:qFormat/>
    <w:uiPriority w:val="99"/>
    <w:rPr>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AHLY</Company>
  <Pages>1</Pages>
  <Words>0</Words>
  <Characters>0</Characters>
  <Lines>0</Lines>
  <Paragraphs>0</Paragraphs>
  <TotalTime>12</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2020-07-11T08:33:00Z</dcterms:created>
  <dc:creator>宋颂伟</dc:creator>
  <cp:lastModifiedBy>程炯</cp:lastModifiedBy>
  <dcterms:modified xsi:type="dcterms:W3CDTF">2020-09-30T08:47:35Z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