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pacing w:before="156" w:beforeLines="50" w:line="240" w:lineRule="auto"/>
        <w:ind w:left="0" w:leftChars="0" w:firstLine="0" w:firstLineChars="0"/>
        <w:jc w:val="center"/>
        <w:rPr>
          <w:rFonts w:hint="eastAsia" w:ascii="Times New Roman" w:hAnsi="仿宋" w:eastAsia="仿宋" w:cs="Times New Roman"/>
          <w:b/>
          <w:bCs/>
          <w:sz w:val="24"/>
          <w:szCs w:val="28"/>
        </w:rPr>
      </w:pPr>
      <w:bookmarkStart w:id="0" w:name="_Toc23526_WPSOffice_Level1"/>
      <w:r>
        <w:rPr>
          <w:rFonts w:hint="eastAsia" w:ascii="Times New Roman" w:hAnsi="仿宋" w:eastAsia="仿宋" w:cs="Times New Roman"/>
          <w:b/>
          <w:bCs/>
          <w:sz w:val="24"/>
          <w:szCs w:val="28"/>
          <w:lang w:val="en-US" w:eastAsia="zh-CN"/>
        </w:rPr>
        <w:t>中广核霍邱县高塘镇49兆瓦农光互补光伏发电</w:t>
      </w:r>
      <w:r>
        <w:rPr>
          <w:rFonts w:hint="eastAsia" w:ascii="Times New Roman" w:hAnsi="仿宋" w:eastAsia="仿宋" w:cs="Times New Roman"/>
          <w:b/>
          <w:bCs/>
          <w:sz w:val="24"/>
          <w:szCs w:val="28"/>
        </w:rPr>
        <w:t>项目</w:t>
      </w:r>
      <w:r>
        <w:rPr>
          <w:rFonts w:hint="eastAsia" w:ascii="Times New Roman" w:hAnsi="仿宋" w:eastAsia="仿宋" w:cs="Times New Roman"/>
          <w:b/>
          <w:bCs/>
          <w:sz w:val="24"/>
          <w:szCs w:val="28"/>
          <w:lang w:val="en-US" w:eastAsia="zh-CN"/>
        </w:rPr>
        <w:t>110kv送出线路工程</w:t>
      </w:r>
      <w:r>
        <w:rPr>
          <w:rFonts w:hint="eastAsia" w:ascii="Times New Roman" w:hAnsi="仿宋" w:eastAsia="仿宋" w:cs="Times New Roman"/>
          <w:b/>
          <w:bCs/>
          <w:sz w:val="24"/>
          <w:szCs w:val="28"/>
        </w:rPr>
        <w:t>项目</w:t>
      </w:r>
    </w:p>
    <w:p>
      <w:pPr>
        <w:pStyle w:val="9"/>
        <w:keepNext w:val="0"/>
        <w:keepLines w:val="0"/>
        <w:pageBreakBefore w:val="0"/>
        <w:widowControl w:val="0"/>
        <w:kinsoku/>
        <w:wordWrap/>
        <w:overflowPunct/>
        <w:topLinePunct w:val="0"/>
        <w:autoSpaceDE/>
        <w:autoSpaceDN/>
        <w:bidi w:val="0"/>
        <w:adjustRightInd/>
        <w:snapToGrid/>
        <w:spacing w:line="360" w:lineRule="auto"/>
        <w:ind w:firstLine="482"/>
        <w:jc w:val="center"/>
        <w:textAlignment w:val="auto"/>
        <w:rPr>
          <w:rFonts w:ascii="仿宋_GB2312" w:cs="Times New Roman" w:hAnsiTheme="minorEastAsia"/>
          <w:b/>
          <w:bCs/>
          <w:sz w:val="32"/>
          <w:szCs w:val="32"/>
        </w:rPr>
      </w:pPr>
      <w:r>
        <w:rPr>
          <w:rFonts w:ascii="Times New Roman" w:hAnsi="仿宋" w:eastAsia="仿宋" w:cs="Times New Roman"/>
          <w:b/>
          <w:bCs/>
          <w:sz w:val="24"/>
          <w:szCs w:val="28"/>
        </w:rPr>
        <w:t>水土保持方案</w:t>
      </w:r>
      <w:r>
        <w:rPr>
          <w:rFonts w:hint="eastAsia" w:ascii="Times New Roman" w:hAnsi="仿宋" w:eastAsia="仿宋" w:cs="Times New Roman"/>
          <w:b/>
          <w:bCs/>
          <w:sz w:val="24"/>
          <w:szCs w:val="28"/>
          <w:lang w:val="en-US" w:eastAsia="zh-CN"/>
        </w:rPr>
        <w:t>报告</w:t>
      </w:r>
      <w:r>
        <w:rPr>
          <w:rFonts w:ascii="Times New Roman" w:hAnsi="仿宋" w:eastAsia="仿宋" w:cs="Times New Roman"/>
          <w:b/>
          <w:bCs/>
          <w:sz w:val="24"/>
          <w:szCs w:val="28"/>
        </w:rPr>
        <w:t>表</w:t>
      </w:r>
      <w:bookmarkEnd w:id="0"/>
    </w:p>
    <w:tbl>
      <w:tblPr>
        <w:tblStyle w:val="15"/>
        <w:tblW w:w="85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332"/>
        <w:gridCol w:w="1852"/>
        <w:gridCol w:w="481"/>
        <w:gridCol w:w="1092"/>
        <w:gridCol w:w="101"/>
        <w:gridCol w:w="126"/>
        <w:gridCol w:w="330"/>
        <w:gridCol w:w="157"/>
        <w:gridCol w:w="177"/>
        <w:gridCol w:w="599"/>
        <w:gridCol w:w="269"/>
        <w:gridCol w:w="296"/>
        <w:gridCol w:w="405"/>
        <w:gridCol w:w="10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项目</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概况</w:t>
            </w: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位置</w:t>
            </w:r>
          </w:p>
        </w:tc>
        <w:tc>
          <w:tcPr>
            <w:tcW w:w="5109" w:type="dxa"/>
            <w:gridSpan w:val="1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安徽省六安市高塘镇、范桥镇、冯井镇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建设内容</w:t>
            </w:r>
          </w:p>
        </w:tc>
        <w:tc>
          <w:tcPr>
            <w:tcW w:w="5109" w:type="dxa"/>
            <w:gridSpan w:val="1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本工程线路自拟建</w:t>
            </w:r>
            <w:r>
              <w:rPr>
                <w:rFonts w:hint="default" w:hAnsi="仿宋" w:eastAsia="仿宋" w:cs="Times New Roman"/>
                <w:kern w:val="0"/>
                <w:sz w:val="18"/>
                <w:szCs w:val="18"/>
                <w:lang w:val="en-US" w:eastAsia="zh-CN" w:bidi="ar-SA"/>
              </w:rPr>
              <w:t>110kV</w:t>
            </w:r>
            <w:r>
              <w:rPr>
                <w:rFonts w:hint="eastAsia" w:hAnsi="仿宋" w:eastAsia="仿宋" w:cs="Times New Roman"/>
                <w:kern w:val="0"/>
                <w:sz w:val="18"/>
                <w:szCs w:val="18"/>
                <w:lang w:val="en-US" w:eastAsia="zh-CN" w:bidi="ar-SA"/>
              </w:rPr>
              <w:t>高塘升压站</w:t>
            </w:r>
            <w:r>
              <w:rPr>
                <w:rFonts w:hint="default" w:hAnsi="仿宋" w:eastAsia="仿宋" w:cs="Times New Roman"/>
                <w:kern w:val="0"/>
                <w:sz w:val="18"/>
                <w:szCs w:val="18"/>
                <w:lang w:val="en-US" w:eastAsia="zh-CN" w:bidi="ar-SA"/>
              </w:rPr>
              <w:t>110kV</w:t>
            </w:r>
            <w:r>
              <w:rPr>
                <w:rFonts w:hint="eastAsia" w:hAnsi="仿宋" w:eastAsia="仿宋" w:cs="Times New Roman"/>
                <w:kern w:val="0"/>
                <w:sz w:val="18"/>
                <w:szCs w:val="18"/>
                <w:lang w:val="en-US" w:eastAsia="zh-CN" w:bidi="ar-SA"/>
              </w:rPr>
              <w:t>构架起，至已建</w:t>
            </w:r>
            <w:r>
              <w:rPr>
                <w:rFonts w:hint="default" w:hAnsi="仿宋" w:eastAsia="仿宋" w:cs="Times New Roman"/>
                <w:kern w:val="0"/>
                <w:sz w:val="18"/>
                <w:szCs w:val="18"/>
                <w:lang w:val="en-US" w:eastAsia="zh-CN" w:bidi="ar-SA"/>
              </w:rPr>
              <w:t>220kV</w:t>
            </w:r>
            <w:r>
              <w:rPr>
                <w:rFonts w:hint="eastAsia" w:hAnsi="仿宋" w:eastAsia="仿宋" w:cs="Times New Roman"/>
                <w:kern w:val="0"/>
                <w:sz w:val="18"/>
                <w:szCs w:val="18"/>
                <w:lang w:val="en-US" w:eastAsia="zh-CN" w:bidi="ar-SA"/>
              </w:rPr>
              <w:t>冯井变</w:t>
            </w:r>
            <w:r>
              <w:rPr>
                <w:rFonts w:hint="default" w:hAnsi="仿宋" w:eastAsia="仿宋" w:cs="Times New Roman"/>
                <w:kern w:val="0"/>
                <w:sz w:val="18"/>
                <w:szCs w:val="18"/>
                <w:lang w:val="en-US" w:eastAsia="zh-CN" w:bidi="ar-SA"/>
              </w:rPr>
              <w:t>110kV</w:t>
            </w:r>
            <w:r>
              <w:rPr>
                <w:rFonts w:hint="eastAsia" w:hAnsi="仿宋" w:eastAsia="仿宋" w:cs="Times New Roman"/>
                <w:kern w:val="0"/>
                <w:sz w:val="18"/>
                <w:szCs w:val="18"/>
                <w:lang w:val="en-US" w:eastAsia="zh-CN" w:bidi="ar-SA"/>
              </w:rPr>
              <w:t>构架止，新建线路路径总长约</w:t>
            </w:r>
            <w:r>
              <w:rPr>
                <w:rFonts w:hint="default" w:hAnsi="仿宋" w:eastAsia="仿宋" w:cs="Times New Roman"/>
                <w:kern w:val="0"/>
                <w:sz w:val="18"/>
                <w:szCs w:val="18"/>
                <w:lang w:val="en-US" w:eastAsia="zh-CN" w:bidi="ar-SA"/>
              </w:rPr>
              <w:t>11.8km</w:t>
            </w:r>
            <w:r>
              <w:rPr>
                <w:rFonts w:hint="eastAsia" w:hAnsi="仿宋" w:eastAsia="仿宋" w:cs="Times New Roman"/>
                <w:kern w:val="0"/>
                <w:sz w:val="18"/>
                <w:szCs w:val="18"/>
                <w:lang w:val="en-US" w:eastAsia="zh-CN" w:bidi="ar-SA"/>
              </w:rPr>
              <w:t>，架空线路11.35</w:t>
            </w:r>
            <w:r>
              <w:rPr>
                <w:rFonts w:hint="default" w:hAnsi="仿宋" w:eastAsia="仿宋" w:cs="Times New Roman"/>
                <w:kern w:val="0"/>
                <w:sz w:val="18"/>
                <w:szCs w:val="18"/>
                <w:lang w:val="en-US" w:eastAsia="zh-CN" w:bidi="ar-SA"/>
              </w:rPr>
              <w:t>km</w:t>
            </w:r>
            <w:r>
              <w:rPr>
                <w:rFonts w:hint="eastAsia" w:hAnsi="仿宋" w:eastAsia="仿宋" w:cs="Times New Roman"/>
                <w:kern w:val="0"/>
                <w:sz w:val="18"/>
                <w:szCs w:val="18"/>
                <w:lang w:val="en-US" w:eastAsia="zh-CN" w:bidi="ar-SA"/>
              </w:rPr>
              <w:t>，直埋电缆0.45km。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建设性质</w:t>
            </w: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新建</w:t>
            </w:r>
          </w:p>
        </w:tc>
        <w:tc>
          <w:tcPr>
            <w:tcW w:w="1759" w:type="dxa"/>
            <w:gridSpan w:val="7"/>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总投资（万元）</w:t>
            </w:r>
          </w:p>
        </w:tc>
        <w:tc>
          <w:tcPr>
            <w:tcW w:w="1777" w:type="dxa"/>
            <w:gridSpan w:val="3"/>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1535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土建投资</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（万元）</w:t>
            </w:r>
          </w:p>
        </w:tc>
        <w:tc>
          <w:tcPr>
            <w:tcW w:w="1573" w:type="dxa"/>
            <w:gridSpan w:val="2"/>
            <w:vMerge w:val="restart"/>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451</w:t>
            </w:r>
          </w:p>
        </w:tc>
        <w:tc>
          <w:tcPr>
            <w:tcW w:w="1490" w:type="dxa"/>
            <w:gridSpan w:val="6"/>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占地面积（hm</w:t>
            </w:r>
            <w:r>
              <w:rPr>
                <w:rFonts w:ascii="Calibri" w:hAnsi="Calibri" w:eastAsia="仿宋" w:cs="Calibri"/>
                <w:kern w:val="0"/>
                <w:sz w:val="18"/>
                <w:szCs w:val="18"/>
                <w:lang w:val="en-US" w:eastAsia="zh-CN" w:bidi="ar-SA"/>
              </w:rPr>
              <w:t>²</w:t>
            </w:r>
            <w:r>
              <w:rPr>
                <w:rFonts w:ascii="Times New Roman" w:hAnsi="仿宋" w:eastAsia="仿宋" w:cs="Times New Roman"/>
                <w:kern w:val="0"/>
                <w:sz w:val="18"/>
                <w:szCs w:val="18"/>
                <w:lang w:val="en-US" w:eastAsia="zh-CN" w:bidi="ar-SA"/>
              </w:rPr>
              <w:t>）</w:t>
            </w:r>
          </w:p>
        </w:tc>
        <w:tc>
          <w:tcPr>
            <w:tcW w:w="970"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永久占地</w:t>
            </w:r>
          </w:p>
        </w:tc>
        <w:tc>
          <w:tcPr>
            <w:tcW w:w="1076" w:type="dxa"/>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573"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490" w:type="dxa"/>
            <w:gridSpan w:val="6"/>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970"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临时占地</w:t>
            </w:r>
          </w:p>
        </w:tc>
        <w:tc>
          <w:tcPr>
            <w:tcW w:w="1076" w:type="dxa"/>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2.74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动工时间</w:t>
            </w: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202</w:t>
            </w:r>
            <w:r>
              <w:rPr>
                <w:rFonts w:hint="eastAsia" w:hAnsi="仿宋" w:eastAsia="仿宋" w:cs="Times New Roman"/>
                <w:kern w:val="0"/>
                <w:sz w:val="18"/>
                <w:szCs w:val="18"/>
                <w:lang w:val="en-US" w:eastAsia="zh-CN" w:bidi="ar-SA"/>
              </w:rPr>
              <w:t>0</w:t>
            </w:r>
            <w:r>
              <w:rPr>
                <w:rFonts w:hint="eastAsia" w:ascii="Times New Roman" w:hAnsi="仿宋" w:eastAsia="仿宋" w:cs="Times New Roman"/>
                <w:kern w:val="0"/>
                <w:sz w:val="18"/>
                <w:szCs w:val="18"/>
                <w:lang w:val="en-US" w:eastAsia="zh-CN" w:bidi="ar-SA"/>
              </w:rPr>
              <w:t>年</w:t>
            </w:r>
            <w:r>
              <w:rPr>
                <w:rFonts w:hint="eastAsia" w:hAnsi="仿宋" w:eastAsia="仿宋" w:cs="Times New Roman"/>
                <w:kern w:val="0"/>
                <w:sz w:val="18"/>
                <w:szCs w:val="18"/>
                <w:lang w:val="en-US" w:eastAsia="zh-CN" w:bidi="ar-SA"/>
              </w:rPr>
              <w:t>11</w:t>
            </w:r>
            <w:r>
              <w:rPr>
                <w:rFonts w:hint="eastAsia" w:ascii="Times New Roman" w:hAnsi="仿宋" w:eastAsia="仿宋" w:cs="Times New Roman"/>
                <w:kern w:val="0"/>
                <w:sz w:val="18"/>
                <w:szCs w:val="18"/>
                <w:lang w:val="en-US" w:eastAsia="zh-CN" w:bidi="ar-SA"/>
              </w:rPr>
              <w:t>月</w:t>
            </w:r>
          </w:p>
        </w:tc>
        <w:tc>
          <w:tcPr>
            <w:tcW w:w="1490"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完工时间</w:t>
            </w:r>
          </w:p>
        </w:tc>
        <w:tc>
          <w:tcPr>
            <w:tcW w:w="2046"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2020</w:t>
            </w:r>
            <w:r>
              <w:rPr>
                <w:rFonts w:hint="eastAsia" w:ascii="Times New Roman" w:hAnsi="仿宋" w:eastAsia="仿宋" w:cs="Times New Roman"/>
                <w:kern w:val="0"/>
                <w:sz w:val="18"/>
                <w:szCs w:val="18"/>
                <w:lang w:val="en-US" w:eastAsia="zh-CN" w:bidi="ar-SA"/>
              </w:rPr>
              <w:t>年1</w:t>
            </w:r>
            <w:r>
              <w:rPr>
                <w:rFonts w:ascii="Times New Roman" w:hAnsi="仿宋" w:eastAsia="仿宋" w:cs="Times New Roman"/>
                <w:kern w:val="0"/>
                <w:sz w:val="18"/>
                <w:szCs w:val="18"/>
                <w:lang w:val="en-US" w:eastAsia="zh-CN" w:bidi="ar-SA"/>
              </w:rPr>
              <w:t>2</w:t>
            </w:r>
            <w:r>
              <w:rPr>
                <w:rFonts w:hint="eastAsia" w:ascii="Times New Roman" w:hAnsi="仿宋" w:eastAsia="仿宋" w:cs="Times New Roman"/>
                <w:kern w:val="0"/>
                <w:sz w:val="18"/>
                <w:szCs w:val="18"/>
                <w:lang w:val="en-US" w:eastAsia="zh-CN" w:bidi="ar-SA"/>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土石方（</w:t>
            </w:r>
            <w:r>
              <w:rPr>
                <w:rFonts w:hint="eastAsia" w:hAnsi="仿宋" w:eastAsia="仿宋" w:cs="Times New Roman"/>
                <w:kern w:val="0"/>
                <w:sz w:val="18"/>
                <w:szCs w:val="18"/>
                <w:lang w:val="en-US" w:eastAsia="zh-CN" w:bidi="ar-SA"/>
              </w:rPr>
              <w:t>万</w:t>
            </w:r>
            <w:r>
              <w:rPr>
                <w:rFonts w:ascii="Times New Roman" w:hAnsi="仿宋" w:eastAsia="仿宋" w:cs="Times New Roman"/>
                <w:kern w:val="0"/>
                <w:sz w:val="18"/>
                <w:szCs w:val="18"/>
                <w:lang w:val="en-US" w:eastAsia="zh-CN" w:bidi="ar-SA"/>
              </w:rPr>
              <w:t>m</w:t>
            </w:r>
            <w:r>
              <w:rPr>
                <w:rFonts w:ascii="Calibri" w:hAnsi="Calibri" w:eastAsia="仿宋" w:cs="Calibri"/>
                <w:kern w:val="0"/>
                <w:sz w:val="18"/>
                <w:szCs w:val="18"/>
                <w:lang w:val="en-US" w:eastAsia="zh-CN" w:bidi="ar-SA"/>
              </w:rPr>
              <w:t>³</w:t>
            </w:r>
            <w:r>
              <w:rPr>
                <w:rFonts w:ascii="Times New Roman" w:hAnsi="仿宋" w:eastAsia="仿宋" w:cs="Times New Roman"/>
                <w:kern w:val="0"/>
                <w:sz w:val="18"/>
                <w:szCs w:val="18"/>
                <w:lang w:val="en-US" w:eastAsia="zh-CN" w:bidi="ar-SA"/>
              </w:rPr>
              <w:t>）</w:t>
            </w: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分区</w:t>
            </w:r>
          </w:p>
        </w:tc>
        <w:tc>
          <w:tcPr>
            <w:tcW w:w="714"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挖方</w:t>
            </w:r>
          </w:p>
        </w:tc>
        <w:tc>
          <w:tcPr>
            <w:tcW w:w="776"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填方</w:t>
            </w:r>
          </w:p>
        </w:tc>
        <w:tc>
          <w:tcPr>
            <w:tcW w:w="970"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借方</w:t>
            </w:r>
          </w:p>
        </w:tc>
        <w:tc>
          <w:tcPr>
            <w:tcW w:w="1076"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余（弃）方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集电线路</w:t>
            </w:r>
            <w:r>
              <w:rPr>
                <w:rFonts w:hint="eastAsia" w:ascii="Times New Roman" w:hAnsi="仿宋" w:eastAsia="仿宋" w:cs="Times New Roman"/>
                <w:kern w:val="0"/>
                <w:sz w:val="18"/>
                <w:szCs w:val="18"/>
                <w:lang w:val="en-US" w:eastAsia="zh-CN" w:bidi="ar-SA"/>
              </w:rPr>
              <w:t>区</w:t>
            </w:r>
          </w:p>
        </w:tc>
        <w:tc>
          <w:tcPr>
            <w:tcW w:w="714" w:type="dxa"/>
            <w:gridSpan w:val="4"/>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1.07</w:t>
            </w:r>
          </w:p>
        </w:tc>
        <w:tc>
          <w:tcPr>
            <w:tcW w:w="776"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1.07</w:t>
            </w:r>
          </w:p>
        </w:tc>
        <w:tc>
          <w:tcPr>
            <w:tcW w:w="970"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076"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hint="eastAsia"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施工道路</w:t>
            </w:r>
            <w:r>
              <w:rPr>
                <w:rFonts w:hint="eastAsia" w:ascii="Times New Roman" w:hAnsi="仿宋" w:eastAsia="仿宋" w:cs="Times New Roman"/>
                <w:kern w:val="0"/>
                <w:sz w:val="18"/>
                <w:szCs w:val="18"/>
                <w:lang w:val="en-US" w:eastAsia="zh-CN" w:bidi="ar-SA"/>
              </w:rPr>
              <w:t>区</w:t>
            </w:r>
          </w:p>
        </w:tc>
        <w:tc>
          <w:tcPr>
            <w:tcW w:w="714"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776"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970"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076"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牵张场</w:t>
            </w:r>
            <w:r>
              <w:rPr>
                <w:rFonts w:hint="eastAsia" w:ascii="Times New Roman" w:hAnsi="仿宋" w:eastAsia="仿宋" w:cs="Times New Roman"/>
                <w:kern w:val="0"/>
                <w:sz w:val="18"/>
                <w:szCs w:val="18"/>
                <w:lang w:val="en-US" w:eastAsia="zh-CN" w:bidi="ar-SA"/>
              </w:rPr>
              <w:t>区</w:t>
            </w:r>
          </w:p>
        </w:tc>
        <w:tc>
          <w:tcPr>
            <w:tcW w:w="714"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776"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970"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076"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57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合计</w:t>
            </w:r>
          </w:p>
        </w:tc>
        <w:tc>
          <w:tcPr>
            <w:tcW w:w="714" w:type="dxa"/>
            <w:gridSpan w:val="4"/>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1.07</w:t>
            </w:r>
          </w:p>
        </w:tc>
        <w:tc>
          <w:tcPr>
            <w:tcW w:w="776"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1.07</w:t>
            </w:r>
          </w:p>
        </w:tc>
        <w:tc>
          <w:tcPr>
            <w:tcW w:w="970"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076"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取土（石、砂）场</w:t>
            </w:r>
          </w:p>
        </w:tc>
        <w:tc>
          <w:tcPr>
            <w:tcW w:w="5109" w:type="dxa"/>
            <w:gridSpan w:val="1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弃土（石、砂）场</w:t>
            </w:r>
          </w:p>
        </w:tc>
        <w:tc>
          <w:tcPr>
            <w:tcW w:w="5109" w:type="dxa"/>
            <w:gridSpan w:val="1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项目区</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概况</w:t>
            </w: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涉及重点防治区情况</w:t>
            </w:r>
          </w:p>
        </w:tc>
        <w:tc>
          <w:tcPr>
            <w:tcW w:w="2130" w:type="dxa"/>
            <w:gridSpan w:val="5"/>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不</w:t>
            </w:r>
            <w:r>
              <w:rPr>
                <w:rFonts w:hint="eastAsia" w:ascii="Times New Roman" w:hAnsi="仿宋" w:eastAsia="仿宋" w:cs="Times New Roman"/>
                <w:kern w:val="0"/>
                <w:sz w:val="18"/>
                <w:szCs w:val="18"/>
                <w:lang w:val="en-US" w:eastAsia="zh-CN" w:bidi="ar-SA"/>
              </w:rPr>
              <w:t>涉及</w:t>
            </w:r>
            <w:r>
              <w:rPr>
                <w:rFonts w:ascii="Times New Roman" w:hAnsi="仿宋" w:eastAsia="仿宋" w:cs="Times New Roman"/>
                <w:kern w:val="0"/>
                <w:sz w:val="18"/>
                <w:szCs w:val="18"/>
                <w:lang w:val="en-US" w:eastAsia="zh-CN" w:bidi="ar-SA"/>
              </w:rPr>
              <w:t>国家</w:t>
            </w:r>
            <w:r>
              <w:rPr>
                <w:rFonts w:hint="eastAsia" w:ascii="Times New Roman" w:hAnsi="仿宋" w:eastAsia="仿宋" w:cs="Times New Roman"/>
                <w:kern w:val="0"/>
                <w:sz w:val="18"/>
                <w:szCs w:val="18"/>
                <w:lang w:val="en-US" w:eastAsia="zh-CN" w:bidi="ar-SA"/>
              </w:rPr>
              <w:t>、</w:t>
            </w:r>
            <w:r>
              <w:rPr>
                <w:rFonts w:ascii="Times New Roman" w:hAnsi="仿宋" w:eastAsia="仿宋" w:cs="Times New Roman"/>
                <w:kern w:val="0"/>
                <w:sz w:val="18"/>
                <w:szCs w:val="18"/>
                <w:lang w:val="en-US" w:eastAsia="zh-CN" w:bidi="ar-SA"/>
              </w:rPr>
              <w:t>省级</w:t>
            </w:r>
            <w:r>
              <w:rPr>
                <w:rFonts w:hint="eastAsia" w:ascii="Times New Roman" w:hAnsi="仿宋" w:eastAsia="仿宋" w:cs="Times New Roman"/>
                <w:kern w:val="0"/>
                <w:sz w:val="18"/>
                <w:szCs w:val="18"/>
                <w:lang w:val="en-US" w:eastAsia="zh-CN" w:bidi="ar-SA"/>
              </w:rPr>
              <w:t>及市级</w:t>
            </w:r>
            <w:r>
              <w:rPr>
                <w:rFonts w:ascii="Times New Roman" w:hAnsi="仿宋" w:eastAsia="仿宋" w:cs="Times New Roman"/>
                <w:kern w:val="0"/>
                <w:sz w:val="18"/>
                <w:szCs w:val="18"/>
                <w:lang w:val="en-US" w:eastAsia="zh-CN" w:bidi="ar-SA"/>
              </w:rPr>
              <w:t>水土流失重点防治区</w:t>
            </w:r>
          </w:p>
        </w:tc>
        <w:tc>
          <w:tcPr>
            <w:tcW w:w="1498" w:type="dxa"/>
            <w:gridSpan w:val="5"/>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地貌类型</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江淮</w:t>
            </w:r>
            <w:r>
              <w:rPr>
                <w:rFonts w:ascii="Times New Roman" w:hAnsi="仿宋" w:eastAsia="仿宋" w:cs="Times New Roman"/>
                <w:kern w:val="0"/>
                <w:sz w:val="18"/>
                <w:szCs w:val="18"/>
                <w:lang w:val="en-US" w:eastAsia="zh-CN" w:bidi="ar-SA"/>
              </w:rPr>
              <w:t>丘陵地带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原地貌土壤侵蚀模数</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[t/（km</w:t>
            </w:r>
            <w:r>
              <w:rPr>
                <w:rFonts w:ascii="Calibri" w:hAnsi="Calibri" w:eastAsia="仿宋" w:cs="Calibri"/>
                <w:kern w:val="0"/>
                <w:sz w:val="18"/>
                <w:szCs w:val="18"/>
                <w:lang w:val="en-US" w:eastAsia="zh-CN" w:bidi="ar-SA"/>
              </w:rPr>
              <w:t>²</w:t>
            </w:r>
            <w:r>
              <w:rPr>
                <w:rFonts w:ascii="Times New Roman" w:hAnsi="仿宋" w:eastAsia="仿宋" w:cs="Times New Roman"/>
                <w:kern w:val="0"/>
                <w:sz w:val="18"/>
                <w:szCs w:val="18"/>
                <w:lang w:val="en-US" w:eastAsia="zh-CN" w:bidi="ar-SA"/>
              </w:rPr>
              <w:t>.a）]</w:t>
            </w:r>
          </w:p>
        </w:tc>
        <w:tc>
          <w:tcPr>
            <w:tcW w:w="2130" w:type="dxa"/>
            <w:gridSpan w:val="5"/>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150</w:t>
            </w:r>
          </w:p>
        </w:tc>
        <w:tc>
          <w:tcPr>
            <w:tcW w:w="1498" w:type="dxa"/>
            <w:gridSpan w:val="5"/>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容许土壤流失量</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[t/（km</w:t>
            </w:r>
            <w:r>
              <w:rPr>
                <w:rFonts w:ascii="Calibri" w:hAnsi="Calibri" w:eastAsia="仿宋" w:cs="Calibri"/>
                <w:kern w:val="0"/>
                <w:sz w:val="18"/>
                <w:szCs w:val="18"/>
                <w:lang w:val="en-US" w:eastAsia="zh-CN" w:bidi="ar-SA"/>
              </w:rPr>
              <w:t>²</w:t>
            </w:r>
            <w:r>
              <w:rPr>
                <w:rFonts w:ascii="Times New Roman" w:hAnsi="仿宋" w:eastAsia="仿宋" w:cs="Times New Roman"/>
                <w:kern w:val="0"/>
                <w:sz w:val="18"/>
                <w:szCs w:val="18"/>
                <w:lang w:val="en-US" w:eastAsia="zh-CN" w:bidi="ar-SA"/>
              </w:rPr>
              <w:t>.a）]</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200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项目选址（线）水土保持评价</w:t>
            </w:r>
          </w:p>
        </w:tc>
        <w:tc>
          <w:tcPr>
            <w:tcW w:w="7293" w:type="dxa"/>
            <w:gridSpan w:val="1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项目区不涉及水土流失重点预防区和重点治理区、不涉及河流两岸、湖泊和水库周边植物保护带，全国水土保持监测网络中的水土保持监测站点、重点试验区及国家确定的水土保持长期定位观测站。本项目建设不存在选址(线)水土保持制约性因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39"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预测土壤流失量</w:t>
            </w:r>
          </w:p>
        </w:tc>
        <w:tc>
          <w:tcPr>
            <w:tcW w:w="5109" w:type="dxa"/>
            <w:gridSpan w:val="1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15.73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439" w:type="dxa"/>
            <w:gridSpan w:val="3"/>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防治责任范围（hm</w:t>
            </w:r>
            <w:r>
              <w:rPr>
                <w:rFonts w:ascii="Calibri" w:hAnsi="Calibri" w:eastAsia="仿宋" w:cs="Calibri"/>
                <w:kern w:val="0"/>
                <w:sz w:val="18"/>
                <w:szCs w:val="18"/>
                <w:lang w:val="en-US" w:eastAsia="zh-CN" w:bidi="ar-SA"/>
              </w:rPr>
              <w:t>²</w:t>
            </w:r>
            <w:r>
              <w:rPr>
                <w:rFonts w:ascii="Times New Roman" w:hAnsi="仿宋" w:eastAsia="仿宋" w:cs="Times New Roman"/>
                <w:kern w:val="0"/>
                <w:sz w:val="18"/>
                <w:szCs w:val="18"/>
                <w:lang w:val="en-US" w:eastAsia="zh-CN" w:bidi="ar-SA"/>
              </w:rPr>
              <w:t>）</w:t>
            </w:r>
          </w:p>
        </w:tc>
        <w:tc>
          <w:tcPr>
            <w:tcW w:w="5109" w:type="dxa"/>
            <w:gridSpan w:val="1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2.88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防治标准</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等级及目标</w:t>
            </w: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防治标准等级</w:t>
            </w:r>
          </w:p>
        </w:tc>
        <w:tc>
          <w:tcPr>
            <w:tcW w:w="5109" w:type="dxa"/>
            <w:gridSpan w:val="1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南方红壤</w:t>
            </w:r>
            <w:r>
              <w:rPr>
                <w:rFonts w:ascii="Times New Roman" w:hAnsi="仿宋" w:eastAsia="仿宋" w:cs="Times New Roman"/>
                <w:kern w:val="0"/>
                <w:sz w:val="18"/>
                <w:szCs w:val="18"/>
                <w:lang w:val="en-US" w:eastAsia="zh-CN" w:bidi="ar-SA"/>
              </w:rPr>
              <w:t>区</w:t>
            </w:r>
            <w:r>
              <w:rPr>
                <w:rFonts w:hint="eastAsia" w:hAnsi="仿宋" w:eastAsia="仿宋" w:cs="Times New Roman"/>
                <w:kern w:val="0"/>
                <w:sz w:val="18"/>
                <w:szCs w:val="18"/>
                <w:lang w:val="en-US" w:eastAsia="zh-CN" w:bidi="ar-SA"/>
              </w:rPr>
              <w:t>二</w:t>
            </w:r>
            <w:r>
              <w:rPr>
                <w:rFonts w:ascii="Times New Roman" w:hAnsi="仿宋" w:eastAsia="仿宋" w:cs="Times New Roman"/>
                <w:kern w:val="0"/>
                <w:sz w:val="18"/>
                <w:szCs w:val="18"/>
                <w:lang w:val="en-US" w:eastAsia="zh-CN" w:bidi="ar-SA"/>
              </w:rPr>
              <w:t>级标准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水土流失总治理度（%）</w:t>
            </w:r>
          </w:p>
        </w:tc>
        <w:tc>
          <w:tcPr>
            <w:tcW w:w="1674" w:type="dxa"/>
            <w:gridSpan w:val="3"/>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95</w:t>
            </w:r>
          </w:p>
        </w:tc>
        <w:tc>
          <w:tcPr>
            <w:tcW w:w="1954" w:type="dxa"/>
            <w:gridSpan w:val="7"/>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土壤流失控制比</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渣土防护率（%）</w:t>
            </w:r>
          </w:p>
        </w:tc>
        <w:tc>
          <w:tcPr>
            <w:tcW w:w="1674" w:type="dxa"/>
            <w:gridSpan w:val="3"/>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95</w:t>
            </w:r>
          </w:p>
        </w:tc>
        <w:tc>
          <w:tcPr>
            <w:tcW w:w="1954" w:type="dxa"/>
            <w:gridSpan w:val="7"/>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表土保护率（%）</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林草植被恢复率（%）</w:t>
            </w:r>
          </w:p>
        </w:tc>
        <w:tc>
          <w:tcPr>
            <w:tcW w:w="1674" w:type="dxa"/>
            <w:gridSpan w:val="3"/>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95</w:t>
            </w:r>
          </w:p>
        </w:tc>
        <w:tc>
          <w:tcPr>
            <w:tcW w:w="1954" w:type="dxa"/>
            <w:gridSpan w:val="7"/>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林草覆盖率（%）</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水土保持</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措施</w:t>
            </w:r>
          </w:p>
        </w:tc>
        <w:tc>
          <w:tcPr>
            <w:tcW w:w="7293" w:type="dxa"/>
            <w:gridSpan w:val="14"/>
            <w:tcBorders>
              <w:tl2br w:val="nil"/>
              <w:tr2bl w:val="nil"/>
            </w:tcBorders>
            <w:vAlign w:val="center"/>
          </w:tcPr>
          <w:p>
            <w:pPr>
              <w:widowControl/>
              <w:adjustRightInd w:val="0"/>
              <w:snapToGrid w:val="0"/>
              <w:spacing w:line="360" w:lineRule="auto"/>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集电线路</w:t>
            </w:r>
            <w:r>
              <w:rPr>
                <w:rFonts w:hint="eastAsia" w:ascii="Times New Roman" w:hAnsi="仿宋" w:eastAsia="仿宋" w:cs="Times New Roman"/>
                <w:kern w:val="0"/>
                <w:sz w:val="18"/>
                <w:szCs w:val="18"/>
                <w:lang w:val="en-US" w:eastAsia="zh-CN" w:bidi="ar-SA"/>
              </w:rPr>
              <w:t>区</w:t>
            </w:r>
            <w:r>
              <w:rPr>
                <w:rFonts w:hint="eastAsia" w:hAnsi="仿宋" w:eastAsia="仿宋" w:cs="Times New Roman"/>
                <w:kern w:val="0"/>
                <w:sz w:val="18"/>
                <w:szCs w:val="18"/>
                <w:lang w:val="en-US" w:eastAsia="zh-CN" w:bidi="ar-SA"/>
              </w:rPr>
              <w:t>：土地整治1.80</w:t>
            </w:r>
            <w:r>
              <w:rPr>
                <w:rFonts w:hint="eastAsia" w:ascii="Times New Roman" w:hAnsi="仿宋" w:eastAsia="仿宋" w:cs="Times New Roman"/>
                <w:kern w:val="0"/>
                <w:sz w:val="18"/>
                <w:szCs w:val="18"/>
                <w:lang w:val="en-US" w:eastAsia="zh-CN" w:bidi="ar-SA"/>
              </w:rPr>
              <w:t>hm</w:t>
            </w:r>
            <w:r>
              <w:rPr>
                <w:rFonts w:ascii="Calibri" w:hAnsi="Calibri" w:eastAsia="仿宋" w:cs="Calibri"/>
                <w:kern w:val="0"/>
                <w:sz w:val="18"/>
                <w:szCs w:val="18"/>
                <w:lang w:val="en-US" w:eastAsia="zh-CN" w:bidi="ar-SA"/>
              </w:rPr>
              <w:t>²</w:t>
            </w:r>
            <w:r>
              <w:rPr>
                <w:rFonts w:hint="eastAsia" w:ascii="Times New Roman" w:hAnsi="仿宋" w:eastAsia="仿宋" w:cs="Times New Roman"/>
                <w:kern w:val="0"/>
                <w:sz w:val="18"/>
                <w:szCs w:val="18"/>
                <w:lang w:val="en-US" w:eastAsia="zh-CN" w:bidi="ar-SA"/>
              </w:rPr>
              <w:t>，</w:t>
            </w:r>
            <w:r>
              <w:rPr>
                <w:rFonts w:hint="eastAsia" w:hAnsi="仿宋" w:eastAsia="仿宋" w:cs="Times New Roman"/>
                <w:kern w:val="0"/>
                <w:sz w:val="18"/>
                <w:szCs w:val="18"/>
                <w:lang w:val="en-US" w:eastAsia="zh-CN" w:bidi="ar-SA"/>
              </w:rPr>
              <w:t>播撒草籽：0.09</w:t>
            </w:r>
            <w:r>
              <w:rPr>
                <w:rFonts w:hint="eastAsia" w:ascii="Times New Roman" w:hAnsi="仿宋" w:eastAsia="仿宋" w:cs="Times New Roman"/>
                <w:kern w:val="0"/>
                <w:sz w:val="18"/>
                <w:szCs w:val="18"/>
                <w:lang w:val="en-US" w:eastAsia="zh-CN" w:bidi="ar-SA"/>
              </w:rPr>
              <w:t>hm</w:t>
            </w:r>
            <w:r>
              <w:rPr>
                <w:rFonts w:ascii="Calibri" w:hAnsi="Calibri" w:eastAsia="仿宋" w:cs="Calibri"/>
                <w:kern w:val="0"/>
                <w:sz w:val="18"/>
                <w:szCs w:val="18"/>
                <w:lang w:val="en-US" w:eastAsia="zh-CN" w:bidi="ar-SA"/>
              </w:rPr>
              <w:t>²</w:t>
            </w:r>
            <w:r>
              <w:rPr>
                <w:rFonts w:hint="eastAsia" w:ascii="Calibri" w:hAnsi="Calibri" w:eastAsia="仿宋" w:cs="Calibri"/>
                <w:kern w:val="0"/>
                <w:sz w:val="18"/>
                <w:szCs w:val="18"/>
                <w:lang w:val="en-US" w:eastAsia="zh-CN" w:bidi="ar-SA"/>
              </w:rPr>
              <w:t>，</w:t>
            </w:r>
            <w:r>
              <w:rPr>
                <w:rFonts w:hint="eastAsia" w:ascii="Times New Roman" w:hAnsi="仿宋" w:eastAsia="仿宋" w:cs="Times New Roman"/>
                <w:kern w:val="0"/>
                <w:sz w:val="18"/>
                <w:szCs w:val="18"/>
                <w:lang w:val="en-US" w:eastAsia="zh-CN" w:bidi="ar-SA"/>
              </w:rPr>
              <w:t>临时苫盖0</w:t>
            </w:r>
            <w:r>
              <w:rPr>
                <w:rFonts w:ascii="Times New Roman" w:hAnsi="仿宋" w:eastAsia="仿宋" w:cs="Times New Roman"/>
                <w:kern w:val="0"/>
                <w:sz w:val="18"/>
                <w:szCs w:val="18"/>
                <w:lang w:val="en-US" w:eastAsia="zh-CN" w:bidi="ar-SA"/>
              </w:rPr>
              <w:t>.</w:t>
            </w:r>
            <w:r>
              <w:rPr>
                <w:rFonts w:hint="eastAsia" w:hAnsi="仿宋" w:eastAsia="仿宋" w:cs="Times New Roman"/>
                <w:kern w:val="0"/>
                <w:sz w:val="18"/>
                <w:szCs w:val="18"/>
                <w:lang w:val="en-US" w:eastAsia="zh-CN" w:bidi="ar-SA"/>
              </w:rPr>
              <w:t>05</w:t>
            </w:r>
            <w:r>
              <w:rPr>
                <w:rFonts w:hint="eastAsia" w:ascii="Times New Roman" w:hAnsi="仿宋" w:eastAsia="仿宋" w:cs="Times New Roman"/>
                <w:kern w:val="0"/>
                <w:sz w:val="18"/>
                <w:szCs w:val="18"/>
                <w:lang w:val="en-US" w:eastAsia="zh-CN" w:bidi="ar-SA"/>
              </w:rPr>
              <w:t>hm</w:t>
            </w:r>
            <w:r>
              <w:rPr>
                <w:rFonts w:ascii="Calibri" w:hAnsi="Calibri" w:eastAsia="仿宋" w:cs="Calibri"/>
                <w:kern w:val="0"/>
                <w:sz w:val="18"/>
                <w:szCs w:val="18"/>
                <w:lang w:val="en-US" w:eastAsia="zh-CN" w:bidi="ar-SA"/>
              </w:rPr>
              <w:t>²</w:t>
            </w:r>
            <w:r>
              <w:rPr>
                <w:rFonts w:hint="eastAsia" w:ascii="Times New Roman" w:hAnsi="仿宋" w:eastAsia="仿宋" w:cs="Times New Roman"/>
                <w:kern w:val="0"/>
                <w:sz w:val="18"/>
                <w:szCs w:val="18"/>
                <w:lang w:val="en-US" w:eastAsia="zh-CN" w:bidi="ar-SA"/>
              </w:rPr>
              <w:t>。</w:t>
            </w:r>
          </w:p>
          <w:p>
            <w:pPr>
              <w:widowControl/>
              <w:adjustRightInd w:val="0"/>
              <w:snapToGrid w:val="0"/>
              <w:spacing w:line="36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施工道路</w:t>
            </w:r>
            <w:r>
              <w:rPr>
                <w:rFonts w:hint="eastAsia" w:ascii="Times New Roman" w:hAnsi="仿宋" w:eastAsia="仿宋" w:cs="Times New Roman"/>
                <w:kern w:val="0"/>
                <w:sz w:val="18"/>
                <w:szCs w:val="18"/>
                <w:lang w:val="en-US" w:eastAsia="zh-CN" w:bidi="ar-SA"/>
              </w:rPr>
              <w:t>区：</w:t>
            </w:r>
            <w:r>
              <w:rPr>
                <w:rFonts w:hint="eastAsia" w:hAnsi="仿宋" w:eastAsia="仿宋" w:cs="Times New Roman"/>
                <w:kern w:val="0"/>
                <w:sz w:val="18"/>
                <w:szCs w:val="18"/>
                <w:lang w:val="en-US" w:eastAsia="zh-CN" w:bidi="ar-SA"/>
              </w:rPr>
              <w:t>土地整治0.28</w:t>
            </w:r>
            <w:r>
              <w:rPr>
                <w:rFonts w:hint="eastAsia" w:ascii="Times New Roman" w:hAnsi="仿宋" w:eastAsia="仿宋" w:cs="Times New Roman"/>
                <w:kern w:val="0"/>
                <w:sz w:val="18"/>
                <w:szCs w:val="18"/>
                <w:lang w:val="en-US" w:eastAsia="zh-CN" w:bidi="ar-SA"/>
              </w:rPr>
              <w:t>hm</w:t>
            </w:r>
            <w:r>
              <w:rPr>
                <w:rFonts w:ascii="Calibri" w:hAnsi="Calibri" w:eastAsia="仿宋" w:cs="Calibri"/>
                <w:kern w:val="0"/>
                <w:sz w:val="18"/>
                <w:szCs w:val="18"/>
                <w:lang w:val="en-US" w:eastAsia="zh-CN" w:bidi="ar-SA"/>
              </w:rPr>
              <w:t>²</w:t>
            </w:r>
          </w:p>
          <w:p>
            <w:pPr>
              <w:widowControl/>
              <w:adjustRightInd w:val="0"/>
              <w:snapToGrid w:val="0"/>
              <w:spacing w:line="36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牵张场</w:t>
            </w:r>
            <w:r>
              <w:rPr>
                <w:rFonts w:hint="eastAsia" w:ascii="Times New Roman" w:hAnsi="仿宋" w:eastAsia="仿宋" w:cs="Times New Roman"/>
                <w:kern w:val="0"/>
                <w:sz w:val="18"/>
                <w:szCs w:val="18"/>
                <w:lang w:val="en-US" w:eastAsia="zh-CN" w:bidi="ar-SA"/>
              </w:rPr>
              <w:t>区：</w:t>
            </w:r>
            <w:r>
              <w:rPr>
                <w:rFonts w:hint="eastAsia" w:hAnsi="仿宋" w:eastAsia="仿宋" w:cs="Times New Roman"/>
                <w:kern w:val="0"/>
                <w:sz w:val="18"/>
                <w:szCs w:val="18"/>
                <w:lang w:val="en-US" w:eastAsia="zh-CN" w:bidi="ar-SA"/>
              </w:rPr>
              <w:t>土地整治0.75</w:t>
            </w:r>
            <w:r>
              <w:rPr>
                <w:rFonts w:hint="eastAsia" w:ascii="Times New Roman" w:hAnsi="仿宋" w:eastAsia="仿宋" w:cs="Times New Roman"/>
                <w:kern w:val="0"/>
                <w:sz w:val="18"/>
                <w:szCs w:val="18"/>
                <w:lang w:val="en-US" w:eastAsia="zh-CN" w:bidi="ar-SA"/>
              </w:rPr>
              <w:t>hm</w:t>
            </w:r>
            <w:r>
              <w:rPr>
                <w:rFonts w:ascii="Calibri" w:hAnsi="Calibri" w:eastAsia="仿宋" w:cs="Calibri"/>
                <w:kern w:val="0"/>
                <w:sz w:val="18"/>
                <w:szCs w:val="18"/>
                <w:lang w:val="en-US" w:eastAsia="zh-CN" w:bidi="ar-SA"/>
              </w:rPr>
              <w:t>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水土保持投资（万元）</w:t>
            </w: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工程措施</w:t>
            </w:r>
          </w:p>
        </w:tc>
        <w:tc>
          <w:tcPr>
            <w:tcW w:w="1800" w:type="dxa"/>
            <w:gridSpan w:val="4"/>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3.76</w:t>
            </w:r>
          </w:p>
        </w:tc>
        <w:tc>
          <w:tcPr>
            <w:tcW w:w="1828"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植物措施</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临时措施</w:t>
            </w:r>
          </w:p>
        </w:tc>
        <w:tc>
          <w:tcPr>
            <w:tcW w:w="1800" w:type="dxa"/>
            <w:gridSpan w:val="4"/>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0.33</w:t>
            </w:r>
          </w:p>
        </w:tc>
        <w:tc>
          <w:tcPr>
            <w:tcW w:w="1828"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水土保持补偿费</w:t>
            </w:r>
          </w:p>
        </w:tc>
        <w:tc>
          <w:tcPr>
            <w:tcW w:w="1481" w:type="dxa"/>
            <w:gridSpan w:val="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2.88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restart"/>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独立费用</w:t>
            </w:r>
          </w:p>
        </w:tc>
        <w:tc>
          <w:tcPr>
            <w:tcW w:w="1800" w:type="dxa"/>
            <w:gridSpan w:val="4"/>
            <w:tcBorders>
              <w:tl2br w:val="nil"/>
              <w:tr2bl w:val="nil"/>
            </w:tcBorders>
            <w:vAlign w:val="center"/>
          </w:tcPr>
          <w:p>
            <w:pPr>
              <w:widowControl/>
              <w:adjustRightInd w:val="0"/>
              <w:snapToGrid w:val="0"/>
              <w:spacing w:line="240" w:lineRule="auto"/>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建设管理费</w:t>
            </w:r>
          </w:p>
        </w:tc>
        <w:tc>
          <w:tcPr>
            <w:tcW w:w="3309" w:type="dxa"/>
            <w:gridSpan w:val="8"/>
            <w:tcBorders>
              <w:tl2br w:val="nil"/>
              <w:tr2bl w:val="nil"/>
            </w:tcBorders>
            <w:vAlign w:val="center"/>
          </w:tcPr>
          <w:p>
            <w:pPr>
              <w:widowControl/>
              <w:adjustRightInd w:val="0"/>
              <w:snapToGrid w:val="0"/>
              <w:spacing w:line="24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0.76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800" w:type="dxa"/>
            <w:gridSpan w:val="4"/>
            <w:tcBorders>
              <w:tl2br w:val="nil"/>
              <w:tr2bl w:val="nil"/>
            </w:tcBorders>
            <w:vAlign w:val="center"/>
          </w:tcPr>
          <w:p>
            <w:pPr>
              <w:widowControl/>
              <w:adjustRightInd w:val="0"/>
              <w:snapToGrid w:val="0"/>
              <w:spacing w:line="240" w:lineRule="auto"/>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水土保持监理费</w:t>
            </w:r>
          </w:p>
        </w:tc>
        <w:tc>
          <w:tcPr>
            <w:tcW w:w="3309" w:type="dxa"/>
            <w:gridSpan w:val="8"/>
            <w:tcBorders>
              <w:tl2br w:val="nil"/>
              <w:tr2bl w:val="nil"/>
            </w:tcBorders>
            <w:vAlign w:val="center"/>
          </w:tcPr>
          <w:p>
            <w:pPr>
              <w:widowControl/>
              <w:adjustRightInd w:val="0"/>
              <w:snapToGrid w:val="0"/>
              <w:spacing w:line="24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800" w:type="dxa"/>
            <w:gridSpan w:val="4"/>
            <w:tcBorders>
              <w:tl2br w:val="nil"/>
              <w:tr2bl w:val="nil"/>
            </w:tcBorders>
            <w:vAlign w:val="center"/>
          </w:tcPr>
          <w:p>
            <w:pPr>
              <w:widowControl/>
              <w:adjustRightInd w:val="0"/>
              <w:snapToGrid w:val="0"/>
              <w:spacing w:line="240" w:lineRule="auto"/>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水土保持方案编制及设计费</w:t>
            </w:r>
          </w:p>
        </w:tc>
        <w:tc>
          <w:tcPr>
            <w:tcW w:w="3309" w:type="dxa"/>
            <w:gridSpan w:val="8"/>
            <w:tcBorders>
              <w:tl2br w:val="nil"/>
              <w:tr2bl w:val="nil"/>
            </w:tcBorders>
            <w:vAlign w:val="center"/>
          </w:tcPr>
          <w:p>
            <w:pPr>
              <w:widowControl/>
              <w:adjustRightInd w:val="0"/>
              <w:snapToGrid w:val="0"/>
              <w:spacing w:line="24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1800" w:type="dxa"/>
            <w:gridSpan w:val="4"/>
            <w:tcBorders>
              <w:tl2br w:val="nil"/>
              <w:tr2bl w:val="nil"/>
            </w:tcBorders>
            <w:vAlign w:val="center"/>
          </w:tcPr>
          <w:p>
            <w:pPr>
              <w:widowControl/>
              <w:adjustRightInd w:val="0"/>
              <w:snapToGrid w:val="0"/>
              <w:spacing w:line="240" w:lineRule="auto"/>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验收费用</w:t>
            </w:r>
          </w:p>
        </w:tc>
        <w:tc>
          <w:tcPr>
            <w:tcW w:w="3309" w:type="dxa"/>
            <w:gridSpan w:val="8"/>
            <w:tcBorders>
              <w:tl2br w:val="nil"/>
              <w:tr2bl w:val="nil"/>
            </w:tcBorders>
            <w:vAlign w:val="center"/>
          </w:tcPr>
          <w:p>
            <w:pPr>
              <w:widowControl/>
              <w:adjustRightInd w:val="0"/>
              <w:snapToGrid w:val="0"/>
              <w:spacing w:line="240" w:lineRule="auto"/>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255" w:type="dxa"/>
            <w:vMerge w:val="continue"/>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c>
          <w:tcPr>
            <w:tcW w:w="2184"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总投资</w:t>
            </w:r>
          </w:p>
        </w:tc>
        <w:tc>
          <w:tcPr>
            <w:tcW w:w="5109" w:type="dxa"/>
            <w:gridSpan w:val="12"/>
            <w:tcBorders>
              <w:tl2br w:val="nil"/>
              <w:tr2bl w:val="nil"/>
            </w:tcBorders>
            <w:vAlign w:val="center"/>
          </w:tcPr>
          <w:p>
            <w:pPr>
              <w:widowControl/>
              <w:adjustRightInd w:val="0"/>
              <w:snapToGrid w:val="0"/>
              <w:spacing w:line="240" w:lineRule="atLeast"/>
              <w:ind w:firstLine="0" w:firstLineChars="0"/>
              <w:jc w:val="center"/>
              <w:rPr>
                <w:rFonts w:hint="default"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17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编制单位</w:t>
            </w:r>
          </w:p>
        </w:tc>
        <w:tc>
          <w:tcPr>
            <w:tcW w:w="23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安徽禾睿工程技术</w:t>
            </w:r>
          </w:p>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有限公司</w:t>
            </w:r>
          </w:p>
        </w:tc>
        <w:tc>
          <w:tcPr>
            <w:tcW w:w="1983" w:type="dxa"/>
            <w:gridSpan w:val="6"/>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建设单位</w:t>
            </w:r>
          </w:p>
        </w:tc>
        <w:tc>
          <w:tcPr>
            <w:tcW w:w="2645" w:type="dxa"/>
            <w:gridSpan w:val="5"/>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中广核新能源投资（深圳）有限公司安徽分公司。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法人代表及电话</w:t>
            </w:r>
          </w:p>
        </w:tc>
        <w:tc>
          <w:tcPr>
            <w:tcW w:w="23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贾先宏  15215691588</w:t>
            </w:r>
          </w:p>
        </w:tc>
        <w:tc>
          <w:tcPr>
            <w:tcW w:w="2582" w:type="dxa"/>
            <w:gridSpan w:val="7"/>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法人代表及电话</w:t>
            </w:r>
          </w:p>
        </w:tc>
        <w:tc>
          <w:tcPr>
            <w:tcW w:w="2046"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国晨忠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地址</w:t>
            </w:r>
          </w:p>
        </w:tc>
        <w:tc>
          <w:tcPr>
            <w:tcW w:w="23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合肥市高新区合欢路与环湖东路交口前城大厦11层1104</w:t>
            </w:r>
          </w:p>
        </w:tc>
        <w:tc>
          <w:tcPr>
            <w:tcW w:w="2582" w:type="dxa"/>
            <w:gridSpan w:val="7"/>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地址</w:t>
            </w:r>
          </w:p>
        </w:tc>
        <w:tc>
          <w:tcPr>
            <w:tcW w:w="2046"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ascii="Times New Roman" w:hAnsi="仿宋" w:eastAsia="仿宋" w:cs="Times New Roman"/>
                <w:kern w:val="0"/>
                <w:sz w:val="18"/>
                <w:szCs w:val="18"/>
                <w:lang w:val="en-US" w:eastAsia="zh-CN" w:bidi="ar-SA"/>
              </w:rPr>
              <w:t>合肥市政务区怀宁路</w:t>
            </w:r>
            <w:r>
              <w:rPr>
                <w:rFonts w:ascii="Times New Roman" w:hAnsi="仿宋" w:eastAsia="仿宋" w:cs="Times New Roman"/>
                <w:kern w:val="0"/>
                <w:sz w:val="18"/>
                <w:szCs w:val="18"/>
                <w:lang w:val="en-US" w:eastAsia="zh-CN" w:bidi="ar-SA"/>
              </w:rPr>
              <w:t>288</w:t>
            </w:r>
            <w:r>
              <w:rPr>
                <w:rFonts w:hint="eastAsia" w:ascii="Times New Roman" w:hAnsi="仿宋" w:eastAsia="仿宋" w:cs="Times New Roman"/>
                <w:kern w:val="0"/>
                <w:sz w:val="18"/>
                <w:szCs w:val="18"/>
                <w:lang w:val="en-US" w:eastAsia="zh-CN" w:bidi="ar-SA"/>
              </w:rPr>
              <w:t>号置地广场</w:t>
            </w:r>
            <w:r>
              <w:rPr>
                <w:rFonts w:ascii="Times New Roman" w:hAnsi="仿宋" w:eastAsia="仿宋" w:cs="Times New Roman"/>
                <w:kern w:val="0"/>
                <w:sz w:val="18"/>
                <w:szCs w:val="18"/>
                <w:lang w:val="en-US" w:eastAsia="zh-CN" w:bidi="ar-SA"/>
              </w:rPr>
              <w:t>D</w:t>
            </w:r>
            <w:r>
              <w:rPr>
                <w:rFonts w:hint="eastAsia" w:ascii="Times New Roman" w:hAnsi="仿宋" w:eastAsia="仿宋" w:cs="Times New Roman"/>
                <w:kern w:val="0"/>
                <w:sz w:val="18"/>
                <w:szCs w:val="18"/>
                <w:lang w:val="en-US" w:eastAsia="zh-CN" w:bidi="ar-SA"/>
              </w:rPr>
              <w:t>幢办</w:t>
            </w:r>
            <w:r>
              <w:rPr>
                <w:rFonts w:ascii="Times New Roman" w:hAnsi="仿宋" w:eastAsia="仿宋" w:cs="Times New Roman"/>
                <w:kern w:val="0"/>
                <w:sz w:val="18"/>
                <w:szCs w:val="18"/>
                <w:lang w:val="en-US" w:eastAsia="zh-CN" w:bidi="ar-SA"/>
              </w:rPr>
              <w:t>1003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邮编</w:t>
            </w:r>
          </w:p>
        </w:tc>
        <w:tc>
          <w:tcPr>
            <w:tcW w:w="23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230000</w:t>
            </w:r>
          </w:p>
        </w:tc>
        <w:tc>
          <w:tcPr>
            <w:tcW w:w="2582" w:type="dxa"/>
            <w:gridSpan w:val="7"/>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邮编</w:t>
            </w:r>
          </w:p>
        </w:tc>
        <w:tc>
          <w:tcPr>
            <w:tcW w:w="2046"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230088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联系人及电话</w:t>
            </w:r>
          </w:p>
        </w:tc>
        <w:tc>
          <w:tcPr>
            <w:tcW w:w="23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程炯</w:t>
            </w:r>
            <w:r>
              <w:rPr>
                <w:rFonts w:hint="eastAsia" w:ascii="Times New Roman" w:hAnsi="仿宋" w:eastAsia="仿宋" w:cs="Times New Roman"/>
                <w:kern w:val="0"/>
                <w:sz w:val="18"/>
                <w:szCs w:val="18"/>
                <w:lang w:val="en-US" w:eastAsia="zh-CN" w:bidi="ar-SA"/>
              </w:rPr>
              <w:t xml:space="preserve"> </w:t>
            </w:r>
            <w:r>
              <w:rPr>
                <w:rFonts w:ascii="Times New Roman" w:hAnsi="仿宋" w:eastAsia="仿宋" w:cs="Times New Roman"/>
                <w:kern w:val="0"/>
                <w:sz w:val="18"/>
                <w:szCs w:val="18"/>
                <w:lang w:val="en-US" w:eastAsia="zh-CN" w:bidi="ar-SA"/>
              </w:rPr>
              <w:t>18851384369</w:t>
            </w:r>
          </w:p>
        </w:tc>
        <w:tc>
          <w:tcPr>
            <w:tcW w:w="2582" w:type="dxa"/>
            <w:gridSpan w:val="7"/>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联系人及电话</w:t>
            </w:r>
          </w:p>
        </w:tc>
        <w:tc>
          <w:tcPr>
            <w:tcW w:w="2046"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hint="eastAsia" w:hAnsi="仿宋" w:eastAsia="仿宋" w:cs="Times New Roman"/>
                <w:kern w:val="0"/>
                <w:sz w:val="18"/>
                <w:szCs w:val="18"/>
                <w:lang w:val="en-US" w:eastAsia="zh-CN" w:bidi="ar-SA"/>
              </w:rPr>
              <w:t>钱承</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电子邮箱</w:t>
            </w:r>
          </w:p>
        </w:tc>
        <w:tc>
          <w:tcPr>
            <w:tcW w:w="23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694897900</w:t>
            </w:r>
            <w:r>
              <w:rPr>
                <w:rFonts w:hint="eastAsia" w:ascii="Times New Roman" w:hAnsi="仿宋" w:eastAsia="仿宋" w:cs="Times New Roman"/>
                <w:kern w:val="0"/>
                <w:sz w:val="18"/>
                <w:szCs w:val="18"/>
                <w:lang w:val="en-US" w:eastAsia="zh-CN" w:bidi="ar-SA"/>
              </w:rPr>
              <w:t>@qq.com</w:t>
            </w:r>
          </w:p>
        </w:tc>
        <w:tc>
          <w:tcPr>
            <w:tcW w:w="2582" w:type="dxa"/>
            <w:gridSpan w:val="7"/>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电子邮箱</w:t>
            </w:r>
          </w:p>
        </w:tc>
        <w:tc>
          <w:tcPr>
            <w:tcW w:w="2046"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fldChar w:fldCharType="begin"/>
            </w:r>
            <w:r>
              <w:rPr>
                <w:rFonts w:ascii="Times New Roman" w:hAnsi="仿宋" w:eastAsia="仿宋" w:cs="Times New Roman"/>
                <w:kern w:val="0"/>
                <w:sz w:val="18"/>
                <w:szCs w:val="18"/>
                <w:lang w:val="en-US" w:eastAsia="zh-CN" w:bidi="ar-SA"/>
              </w:rPr>
              <w:instrText xml:space="preserve"> HYPERLINK "mailto:1320692790@qq.com" </w:instrText>
            </w:r>
            <w:r>
              <w:rPr>
                <w:rFonts w:ascii="Times New Roman" w:hAnsi="仿宋" w:eastAsia="仿宋" w:cs="Times New Roman"/>
                <w:kern w:val="0"/>
                <w:sz w:val="18"/>
                <w:szCs w:val="18"/>
                <w:lang w:val="en-US" w:eastAsia="zh-CN" w:bidi="ar-SA"/>
              </w:rPr>
              <w:fldChar w:fldCharType="separate"/>
            </w:r>
            <w:r>
              <w:rPr>
                <w:rFonts w:hint="eastAsia" w:ascii="Times New Roman" w:hAnsi="仿宋" w:eastAsia="仿宋" w:cs="Times New Roman"/>
                <w:kern w:val="0"/>
                <w:sz w:val="18"/>
                <w:szCs w:val="18"/>
                <w:lang w:val="en-US" w:eastAsia="zh-CN" w:bidi="ar-SA"/>
              </w:rPr>
              <w:t>1320692790@qq.com</w:t>
            </w:r>
            <w:r>
              <w:rPr>
                <w:rFonts w:hint="eastAsia" w:ascii="Times New Roman" w:hAnsi="仿宋" w:eastAsia="仿宋" w:cs="Times New Roman"/>
                <w:kern w:val="0"/>
                <w:sz w:val="18"/>
                <w:szCs w:val="18"/>
                <w:lang w:val="en-US" w:eastAsia="zh-CN" w:bidi="ar-SA"/>
              </w:rP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587"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传真</w:t>
            </w:r>
          </w:p>
        </w:tc>
        <w:tc>
          <w:tcPr>
            <w:tcW w:w="2333" w:type="dxa"/>
            <w:gridSpan w:val="2"/>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0551-65544196</w:t>
            </w:r>
          </w:p>
        </w:tc>
        <w:tc>
          <w:tcPr>
            <w:tcW w:w="2582" w:type="dxa"/>
            <w:gridSpan w:val="7"/>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r>
              <w:rPr>
                <w:rFonts w:ascii="Times New Roman" w:hAnsi="仿宋" w:eastAsia="仿宋" w:cs="Times New Roman"/>
                <w:kern w:val="0"/>
                <w:sz w:val="18"/>
                <w:szCs w:val="18"/>
                <w:lang w:val="en-US" w:eastAsia="zh-CN" w:bidi="ar-SA"/>
              </w:rPr>
              <w:t>传真</w:t>
            </w:r>
          </w:p>
        </w:tc>
        <w:tc>
          <w:tcPr>
            <w:tcW w:w="2046" w:type="dxa"/>
            <w:gridSpan w:val="4"/>
            <w:tcBorders>
              <w:tl2br w:val="nil"/>
              <w:tr2bl w:val="nil"/>
            </w:tcBorders>
            <w:vAlign w:val="center"/>
          </w:tcPr>
          <w:p>
            <w:pPr>
              <w:widowControl/>
              <w:adjustRightInd w:val="0"/>
              <w:snapToGrid w:val="0"/>
              <w:spacing w:line="240" w:lineRule="atLeast"/>
              <w:ind w:firstLine="0" w:firstLineChars="0"/>
              <w:jc w:val="center"/>
              <w:rPr>
                <w:rFonts w:ascii="Times New Roman" w:hAnsi="仿宋" w:eastAsia="仿宋" w:cs="Times New Roman"/>
                <w:kern w:val="0"/>
                <w:sz w:val="18"/>
                <w:szCs w:val="18"/>
                <w:lang w:val="en-US" w:eastAsia="zh-CN" w:bidi="ar-SA"/>
              </w:rPr>
            </w:pPr>
          </w:p>
        </w:tc>
      </w:tr>
    </w:tbl>
    <w:p>
      <w:pPr>
        <w:rPr>
          <w:rFonts w:hint="eastAsia" w:ascii="仿宋_GB2312" w:cs="Times New Roman" w:hAnsiTheme="minorEastAsia"/>
          <w:b/>
          <w:bCs/>
          <w:sz w:val="32"/>
          <w:szCs w:val="32"/>
          <w:lang w:val="en-US" w:eastAsia="zh-CN"/>
        </w:rPr>
      </w:pPr>
      <w:r>
        <w:rPr>
          <w:rFonts w:hint="eastAsia" w:ascii="仿宋_GB2312" w:cs="Times New Roman" w:hAnsiTheme="minorEastAsia"/>
          <w:b/>
          <w:bCs/>
          <w:sz w:val="32"/>
          <w:szCs w:val="32"/>
          <w:lang w:val="en-US" w:eastAsia="zh-CN"/>
        </w:rPr>
        <w:br w:type="page"/>
      </w:r>
    </w:p>
    <w:p>
      <w:pPr>
        <w:adjustRightInd w:val="0"/>
        <w:snapToGrid w:val="0"/>
        <w:ind w:firstLine="228" w:firstLineChars="71"/>
        <w:jc w:val="center"/>
        <w:rPr>
          <w:rFonts w:hint="eastAsia" w:ascii="仿宋_GB2312" w:cs="Times New Roman" w:hAnsiTheme="minorEastAsia"/>
          <w:b/>
          <w:bCs/>
          <w:sz w:val="32"/>
          <w:szCs w:val="32"/>
          <w:lang w:val="en-US" w:eastAsia="zh-CN"/>
        </w:rPr>
      </w:pPr>
    </w:p>
    <w:p>
      <w:pPr>
        <w:adjustRightInd w:val="0"/>
        <w:snapToGrid w:val="0"/>
        <w:ind w:firstLine="228" w:firstLineChars="71"/>
        <w:jc w:val="center"/>
        <w:rPr>
          <w:rFonts w:hint="eastAsia" w:ascii="仿宋_GB2312" w:cs="Times New Roman" w:hAnsiTheme="minorEastAsia"/>
          <w:b/>
          <w:bCs/>
          <w:sz w:val="32"/>
          <w:szCs w:val="32"/>
          <w:lang w:val="en-US" w:eastAsia="zh-CN"/>
        </w:rPr>
      </w:pPr>
    </w:p>
    <w:p>
      <w:pPr>
        <w:adjustRightInd w:val="0"/>
        <w:snapToGrid w:val="0"/>
        <w:ind w:firstLine="228" w:firstLineChars="71"/>
        <w:jc w:val="center"/>
        <w:rPr>
          <w:rFonts w:hint="eastAsia" w:ascii="仿宋_GB2312" w:cs="Times New Roman" w:hAnsiTheme="minorEastAsia"/>
          <w:b/>
          <w:bCs/>
          <w:sz w:val="32"/>
          <w:szCs w:val="32"/>
          <w:lang w:val="en-US" w:eastAsia="zh-CN"/>
        </w:rPr>
      </w:pPr>
      <w:r>
        <w:rPr>
          <w:rFonts w:hint="eastAsia" w:ascii="仿宋_GB2312" w:cs="Times New Roman" w:hAnsiTheme="minorEastAsia"/>
          <w:b/>
          <w:bCs/>
          <w:sz w:val="32"/>
          <w:szCs w:val="32"/>
          <w:lang w:val="en-US" w:eastAsia="zh-CN"/>
        </w:rPr>
        <w:t>中广核霍邱县高塘镇49兆瓦农光互补光伏发电</w:t>
      </w:r>
      <w:r>
        <w:rPr>
          <w:rFonts w:hint="eastAsia" w:ascii="仿宋_GB2312" w:cs="Times New Roman" w:hAnsiTheme="minorEastAsia"/>
          <w:b/>
          <w:bCs/>
          <w:sz w:val="32"/>
          <w:szCs w:val="32"/>
        </w:rPr>
        <w:t>项目</w:t>
      </w:r>
      <w:r>
        <w:rPr>
          <w:rFonts w:hint="eastAsia" w:ascii="仿宋_GB2312" w:cs="Times New Roman" w:hAnsiTheme="minorEastAsia"/>
          <w:b/>
          <w:bCs/>
          <w:sz w:val="32"/>
          <w:szCs w:val="32"/>
          <w:lang w:val="en-US" w:eastAsia="zh-CN"/>
        </w:rPr>
        <w:t>110kv送出线路工程</w:t>
      </w:r>
    </w:p>
    <w:p>
      <w:pPr>
        <w:adjustRightInd w:val="0"/>
        <w:snapToGrid w:val="0"/>
        <w:ind w:firstLine="257" w:firstLineChars="71"/>
        <w:jc w:val="center"/>
        <w:rPr>
          <w:rFonts w:hint="eastAsia" w:ascii="仿宋_GB2312" w:hAnsi="黑体" w:cs="Times New Roman"/>
          <w:b/>
          <w:bCs/>
          <w:sz w:val="36"/>
          <w:szCs w:val="36"/>
        </w:rPr>
      </w:pPr>
      <w:r>
        <w:rPr>
          <w:rFonts w:hint="eastAsia" w:ascii="仿宋_GB2312" w:hAnsi="黑体" w:cs="Times New Roman"/>
          <w:b/>
          <w:bCs/>
          <w:sz w:val="36"/>
          <w:szCs w:val="36"/>
        </w:rPr>
        <w:t>水土保持方案报告表编制说明</w:t>
      </w: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spacing w:line="720" w:lineRule="auto"/>
        <w:ind w:firstLine="562"/>
        <w:jc w:val="left"/>
        <w:rPr>
          <w:b/>
          <w:bCs/>
          <w:sz w:val="28"/>
          <w:szCs w:val="36"/>
        </w:rPr>
      </w:pPr>
    </w:p>
    <w:p>
      <w:pPr>
        <w:pStyle w:val="9"/>
        <w:rPr>
          <w:b/>
          <w:bCs/>
          <w:sz w:val="28"/>
          <w:szCs w:val="36"/>
        </w:rPr>
      </w:pPr>
    </w:p>
    <w:p>
      <w:pPr>
        <w:pStyle w:val="9"/>
        <w:rPr>
          <w:b/>
          <w:bCs/>
          <w:sz w:val="28"/>
          <w:szCs w:val="36"/>
        </w:rPr>
      </w:pPr>
    </w:p>
    <w:p>
      <w:pPr>
        <w:jc w:val="center"/>
        <w:rPr>
          <w:rFonts w:ascii="宋体" w:hAnsi="宋体" w:eastAsia="宋体" w:cs="宋体"/>
          <w:w w:val="80"/>
          <w:sz w:val="32"/>
          <w:szCs w:val="32"/>
        </w:rPr>
      </w:pPr>
      <w:r>
        <w:rPr>
          <w:rFonts w:hint="eastAsia" w:ascii="宋体" w:hAnsi="宋体" w:eastAsia="宋体" w:cs="宋体"/>
          <w:w w:val="80"/>
          <w:sz w:val="32"/>
          <w:szCs w:val="32"/>
        </w:rPr>
        <w:t>建设单位：中广核新能源投资（深圳）有限公司安徽分公司</w:t>
      </w:r>
    </w:p>
    <w:p>
      <w:pPr>
        <w:jc w:val="center"/>
        <w:rPr>
          <w:rFonts w:ascii="宋体" w:hAnsi="宋体" w:eastAsia="宋体" w:cs="宋体"/>
          <w:sz w:val="32"/>
          <w:szCs w:val="32"/>
        </w:rPr>
      </w:pPr>
      <w:r>
        <w:rPr>
          <w:rFonts w:hint="eastAsia" w:ascii="宋体" w:hAnsi="宋体" w:eastAsia="宋体" w:cs="宋体"/>
          <w:sz w:val="32"/>
          <w:szCs w:val="32"/>
        </w:rPr>
        <w:t>编制单位：安徽禾睿工程技术有限公司</w:t>
      </w:r>
    </w:p>
    <w:p>
      <w:pPr>
        <w:spacing w:line="720" w:lineRule="auto"/>
        <w:ind w:firstLine="562"/>
        <w:jc w:val="center"/>
        <w:rPr>
          <w:b w:val="0"/>
          <w:bCs w:val="0"/>
          <w:sz w:val="28"/>
          <w:szCs w:val="36"/>
        </w:rPr>
      </w:pPr>
      <w:r>
        <w:rPr>
          <w:rFonts w:hint="eastAsia"/>
          <w:b w:val="0"/>
          <w:bCs w:val="0"/>
          <w:sz w:val="28"/>
          <w:szCs w:val="36"/>
        </w:rPr>
        <w:t>2</w:t>
      </w:r>
      <w:r>
        <w:rPr>
          <w:b w:val="0"/>
          <w:bCs w:val="0"/>
          <w:sz w:val="28"/>
          <w:szCs w:val="36"/>
        </w:rPr>
        <w:t>020</w:t>
      </w:r>
      <w:r>
        <w:rPr>
          <w:rFonts w:hint="eastAsia"/>
          <w:b w:val="0"/>
          <w:bCs w:val="0"/>
          <w:sz w:val="28"/>
          <w:szCs w:val="36"/>
        </w:rPr>
        <w:t>年</w:t>
      </w:r>
      <w:r>
        <w:rPr>
          <w:rFonts w:hint="eastAsia"/>
          <w:b w:val="0"/>
          <w:bCs w:val="0"/>
          <w:sz w:val="28"/>
          <w:szCs w:val="36"/>
          <w:lang w:val="en-US" w:eastAsia="zh-CN"/>
        </w:rPr>
        <w:t>10</w:t>
      </w:r>
      <w:r>
        <w:rPr>
          <w:rFonts w:hint="eastAsia"/>
          <w:b w:val="0"/>
          <w:bCs w:val="0"/>
          <w:sz w:val="28"/>
          <w:szCs w:val="36"/>
        </w:rPr>
        <w:t>月</w:t>
      </w:r>
    </w:p>
    <w:p>
      <w:pPr>
        <w:widowControl/>
        <w:spacing w:line="240" w:lineRule="auto"/>
        <w:ind w:firstLine="0" w:firstLineChars="0"/>
        <w:jc w:val="left"/>
        <w:rPr>
          <w:rFonts w:hint="eastAsia"/>
          <w:b/>
          <w:bCs/>
          <w:sz w:val="28"/>
          <w:szCs w:val="36"/>
        </w:rPr>
      </w:pPr>
      <w:r>
        <w:rPr>
          <w:b/>
          <w:bCs/>
          <w:sz w:val="28"/>
          <w:szCs w:val="36"/>
        </w:rPr>
        <w:br w:type="page"/>
      </w:r>
    </w:p>
    <w:p>
      <w:pPr>
        <w:pStyle w:val="3"/>
        <w:numPr>
          <w:ilvl w:val="0"/>
          <w:numId w:val="2"/>
        </w:numPr>
        <w:rPr>
          <w:rFonts w:hint="eastAsia"/>
          <w:lang w:val="en-US" w:eastAsia="zh-CN"/>
        </w:rPr>
      </w:pPr>
      <w:bookmarkStart w:id="1" w:name="_Toc50731609"/>
      <w:r>
        <w:rPr>
          <w:rFonts w:hint="eastAsia"/>
          <w:lang w:val="en-US" w:eastAsia="zh-CN"/>
        </w:rPr>
        <w:t>方案报告表综合说明</w:t>
      </w:r>
    </w:p>
    <w:p>
      <w:pPr>
        <w:pStyle w:val="3"/>
        <w:numPr>
          <w:ilvl w:val="0"/>
          <w:numId w:val="0"/>
        </w:numPr>
        <w:rPr>
          <w:rFonts w:hint="eastAsia"/>
        </w:rPr>
      </w:pPr>
      <w:r>
        <w:rPr>
          <w:rFonts w:hint="eastAsia"/>
        </w:rPr>
        <w:t>1 项目概况</w:t>
      </w:r>
      <w:bookmarkEnd w:id="1"/>
    </w:p>
    <w:p>
      <w:pPr>
        <w:pStyle w:val="4"/>
        <w:rPr>
          <w:rFonts w:hint="eastAsia"/>
          <w:lang w:val="en-US" w:eastAsia="zh-CN"/>
        </w:rPr>
      </w:pPr>
      <w:r>
        <w:rPr>
          <w:rFonts w:hint="eastAsia"/>
          <w:lang w:val="en-US" w:eastAsia="zh-CN"/>
        </w:rPr>
        <w:t>1.1项目建设必要性</w:t>
      </w:r>
    </w:p>
    <w:p>
      <w:pPr>
        <w:tabs>
          <w:tab w:val="left" w:pos="2601"/>
        </w:tabs>
        <w:spacing w:line="360" w:lineRule="auto"/>
        <w:ind w:firstLine="480" w:firstLineChars="200"/>
        <w:jc w:val="both"/>
        <w:rPr>
          <w:rFonts w:hint="eastAsia" w:cs="Times New Roman"/>
          <w:sz w:val="24"/>
          <w:lang w:val="en-US" w:eastAsia="zh-CN"/>
        </w:rPr>
      </w:pPr>
      <w:r>
        <w:rPr>
          <w:rFonts w:hint="eastAsia" w:ascii="Times New Roman" w:hAnsi="Times New Roman" w:eastAsia="仿宋_GB2312" w:cs="Times New Roman"/>
          <w:sz w:val="24"/>
        </w:rPr>
        <w:t>近几年，国际光伏发电迅猛发展，光伏发电己由补充能源向替代能源过渡，并在向并网发电的方向发展。2007年底国家发展和改革委员会下发了《关于开展大型并网光伏示范电站建设有关要求的通知》，鼓励在各地太阳能资源丰富地区展开大型并网光伏电站的建设工作。提高可再生能源利用率，尤其发展太阳能发电是改善生态、保护环境的有效途径。太阳能光伏发电以其清洁、源源不断、安全等显著优势，在太阳能产业的发展中已占有重要地位。</w:t>
      </w:r>
      <w:r>
        <w:rPr>
          <w:rFonts w:hint="eastAsia" w:cs="Times New Roman"/>
          <w:sz w:val="24"/>
          <w:lang w:val="en-US" w:eastAsia="zh-CN"/>
        </w:rPr>
        <w:t>本项目为中广核霍邱县高塘镇49兆瓦农光互补光伏发电项目的送出线路工程，建设必要。</w:t>
      </w:r>
    </w:p>
    <w:p>
      <w:pPr>
        <w:pStyle w:val="4"/>
        <w:rPr>
          <w:rFonts w:hint="default"/>
          <w:lang w:val="en-US" w:eastAsia="zh-CN"/>
        </w:rPr>
      </w:pPr>
      <w:r>
        <w:rPr>
          <w:rFonts w:hint="eastAsia"/>
          <w:lang w:val="en-US" w:eastAsia="zh-CN"/>
        </w:rPr>
        <w:t>1.2项目基本情况</w:t>
      </w:r>
    </w:p>
    <w:p>
      <w:pPr>
        <w:keepNext w:val="0"/>
        <w:keepLines w:val="0"/>
        <w:widowControl/>
        <w:suppressLineNumbers w:val="0"/>
        <w:jc w:val="left"/>
      </w:pPr>
      <w:r>
        <w:rPr>
          <w:b/>
          <w:bCs/>
        </w:rPr>
        <w:t>项目名称</w:t>
      </w:r>
      <w:r>
        <w:t>：</w:t>
      </w:r>
      <w:r>
        <w:rPr>
          <w:rFonts w:hint="eastAsia"/>
          <w:lang w:val="en-US" w:eastAsia="zh-CN"/>
        </w:rPr>
        <w:t>中广核霍邱县高塘镇49兆瓦农光互补光伏发电项目110kV送出线路工程</w:t>
      </w:r>
      <w:r>
        <w:rPr>
          <w:rFonts w:hint="eastAsia"/>
        </w:rPr>
        <w:t>。</w:t>
      </w:r>
    </w:p>
    <w:p>
      <w:pPr>
        <w:ind w:firstLine="482"/>
      </w:pPr>
      <w:r>
        <w:rPr>
          <w:b/>
          <w:bCs/>
        </w:rPr>
        <w:t>建设单位</w:t>
      </w:r>
      <w:r>
        <w:t>：</w:t>
      </w:r>
      <w:bookmarkStart w:id="76" w:name="_GoBack"/>
      <w:r>
        <w:rPr>
          <w:rFonts w:hint="eastAsia"/>
          <w:lang w:val="en-US" w:eastAsia="zh-CN"/>
        </w:rPr>
        <w:t>中广核新能源投资（深圳）有限公司安徽分公司</w:t>
      </w:r>
      <w:bookmarkEnd w:id="76"/>
      <w:r>
        <w:rPr>
          <w:rFonts w:hint="eastAsia"/>
        </w:rPr>
        <w:t>。</w:t>
      </w:r>
    </w:p>
    <w:p>
      <w:pPr>
        <w:keepNext w:val="0"/>
        <w:keepLines w:val="0"/>
        <w:widowControl/>
        <w:suppressLineNumbers w:val="0"/>
        <w:jc w:val="both"/>
        <w:rPr>
          <w:rFonts w:ascii="Times New Roman" w:hAnsi="Times New Roman"/>
          <w:b/>
          <w:bCs/>
        </w:rPr>
      </w:pPr>
      <w:r>
        <w:rPr>
          <w:rFonts w:ascii="Times New Roman" w:hAnsi="Times New Roman"/>
          <w:b/>
          <w:bCs/>
        </w:rPr>
        <w:t>建设地点：</w:t>
      </w:r>
      <w:r>
        <w:rPr>
          <w:rFonts w:hint="eastAsia" w:ascii="Times New Roman" w:hAnsi="Times New Roman"/>
          <w:b w:val="0"/>
          <w:bCs w:val="0"/>
        </w:rPr>
        <w:t>本工程</w:t>
      </w:r>
      <w:r>
        <w:rPr>
          <w:rFonts w:hint="eastAsia"/>
          <w:b w:val="0"/>
          <w:bCs w:val="0"/>
          <w:lang w:val="en-US" w:eastAsia="zh-CN"/>
        </w:rPr>
        <w:t>建设经</w:t>
      </w:r>
      <w:r>
        <w:rPr>
          <w:rFonts w:hint="eastAsia" w:ascii="Times New Roman" w:hAnsi="Times New Roman"/>
          <w:b w:val="0"/>
          <w:bCs w:val="0"/>
        </w:rPr>
        <w:t>六安市霍邱县高塘镇</w:t>
      </w:r>
      <w:r>
        <w:rPr>
          <w:rFonts w:hint="eastAsia"/>
          <w:b w:val="0"/>
          <w:bCs w:val="0"/>
          <w:lang w:eastAsia="zh-CN"/>
        </w:rPr>
        <w:t>、</w:t>
      </w:r>
      <w:r>
        <w:rPr>
          <w:rFonts w:hint="eastAsia"/>
          <w:b w:val="0"/>
          <w:bCs w:val="0"/>
          <w:lang w:val="en-US" w:eastAsia="zh-CN"/>
        </w:rPr>
        <w:t>冯井镇及范桥镇</w:t>
      </w:r>
      <w:r>
        <w:rPr>
          <w:rFonts w:hint="eastAsia" w:ascii="Times New Roman" w:hAnsi="Times New Roman"/>
          <w:b w:val="0"/>
          <w:bCs w:val="0"/>
        </w:rPr>
        <w:t>，</w:t>
      </w:r>
      <w:r>
        <w:rPr>
          <w:rFonts w:ascii="Times New Roman" w:hAnsi="Times New Roman"/>
          <w:b w:val="0"/>
          <w:bCs w:val="0"/>
        </w:rPr>
        <w:t>北纬</w:t>
      </w:r>
      <w:r>
        <w:rPr>
          <w:rFonts w:hint="default" w:ascii="Times New Roman" w:hAnsi="Times New Roman" w:cs="Times New Roman"/>
          <w:b w:val="0"/>
          <w:bCs w:val="0"/>
        </w:rPr>
        <w:t>3</w:t>
      </w:r>
      <w:r>
        <w:rPr>
          <w:rFonts w:hint="eastAsia" w:cs="Times New Roman"/>
          <w:b w:val="0"/>
          <w:bCs w:val="0"/>
          <w:lang w:val="en-US" w:eastAsia="zh-CN"/>
        </w:rPr>
        <w:t>2</w:t>
      </w:r>
      <w:r>
        <w:rPr>
          <w:rFonts w:hint="default" w:ascii="Times New Roman" w:hAnsi="Times New Roman" w:cs="Times New Roman"/>
          <w:b w:val="0"/>
          <w:bCs w:val="0"/>
        </w:rPr>
        <w:t>°</w:t>
      </w:r>
      <w:r>
        <w:rPr>
          <w:rFonts w:hint="eastAsia" w:cs="Times New Roman"/>
          <w:b w:val="0"/>
          <w:bCs w:val="0"/>
          <w:lang w:val="en-US" w:eastAsia="zh-CN"/>
        </w:rPr>
        <w:t>21</w:t>
      </w:r>
      <w:r>
        <w:rPr>
          <w:rFonts w:hint="default" w:ascii="Times New Roman" w:hAnsi="Times New Roman" w:cs="Times New Roman"/>
          <w:b w:val="0"/>
          <w:bCs w:val="0"/>
        </w:rPr>
        <w:t>′</w:t>
      </w:r>
      <w:r>
        <w:rPr>
          <w:rFonts w:hint="eastAsia" w:cs="Times New Roman"/>
          <w:b w:val="0"/>
          <w:bCs w:val="0"/>
          <w:lang w:val="en-US" w:eastAsia="zh-CN"/>
        </w:rPr>
        <w:t>27</w:t>
      </w:r>
      <w:r>
        <w:rPr>
          <w:rFonts w:hint="default" w:ascii="Times New Roman" w:hAnsi="Times New Roman" w:cs="Times New Roman"/>
          <w:b w:val="0"/>
          <w:bCs w:val="0"/>
        </w:rPr>
        <w:t>.</w:t>
      </w:r>
      <w:r>
        <w:rPr>
          <w:rFonts w:hint="eastAsia" w:cs="Times New Roman"/>
          <w:b w:val="0"/>
          <w:bCs w:val="0"/>
          <w:lang w:val="en-US" w:eastAsia="zh-CN"/>
        </w:rPr>
        <w:t>38</w:t>
      </w:r>
      <w:r>
        <w:rPr>
          <w:rFonts w:hint="default" w:ascii="Times New Roman" w:hAnsi="Times New Roman" w:cs="Times New Roman"/>
          <w:b w:val="0"/>
          <w:bCs w:val="0"/>
        </w:rPr>
        <w:t>″~3</w:t>
      </w:r>
      <w:r>
        <w:rPr>
          <w:rFonts w:hint="eastAsia" w:cs="Times New Roman"/>
          <w:b w:val="0"/>
          <w:bCs w:val="0"/>
          <w:lang w:val="en-US" w:eastAsia="zh-CN"/>
        </w:rPr>
        <w:t>2</w:t>
      </w:r>
      <w:r>
        <w:rPr>
          <w:rFonts w:hint="default" w:ascii="Times New Roman" w:hAnsi="Times New Roman" w:cs="Times New Roman"/>
          <w:b w:val="0"/>
          <w:bCs w:val="0"/>
        </w:rPr>
        <w:t>°</w:t>
      </w:r>
      <w:r>
        <w:rPr>
          <w:rFonts w:hint="eastAsia" w:cs="Times New Roman"/>
          <w:b w:val="0"/>
          <w:bCs w:val="0"/>
          <w:lang w:val="en-US" w:eastAsia="zh-CN"/>
        </w:rPr>
        <w:t>24</w:t>
      </w:r>
      <w:r>
        <w:rPr>
          <w:rFonts w:hint="default" w:ascii="Times New Roman" w:hAnsi="Times New Roman" w:cs="Times New Roman"/>
          <w:b w:val="0"/>
          <w:bCs w:val="0"/>
        </w:rPr>
        <w:t>′</w:t>
      </w:r>
      <w:r>
        <w:rPr>
          <w:rFonts w:hint="eastAsia" w:cs="Times New Roman"/>
          <w:b w:val="0"/>
          <w:bCs w:val="0"/>
          <w:lang w:val="en-US" w:eastAsia="zh-CN"/>
        </w:rPr>
        <w:t>39.50</w:t>
      </w:r>
      <w:r>
        <w:rPr>
          <w:rFonts w:hint="default" w:ascii="Times New Roman" w:hAnsi="Times New Roman" w:cs="Times New Roman"/>
          <w:b w:val="0"/>
          <w:bCs w:val="0"/>
        </w:rPr>
        <w:t>″；东经11</w:t>
      </w:r>
      <w:r>
        <w:rPr>
          <w:rFonts w:hint="eastAsia" w:cs="Times New Roman"/>
          <w:b w:val="0"/>
          <w:bCs w:val="0"/>
          <w:lang w:val="en-US" w:eastAsia="zh-CN"/>
        </w:rPr>
        <w:t>5</w:t>
      </w:r>
      <w:r>
        <w:rPr>
          <w:rFonts w:hint="default" w:ascii="Times New Roman" w:hAnsi="Times New Roman" w:cs="Times New Roman"/>
          <w:b w:val="0"/>
          <w:bCs w:val="0"/>
        </w:rPr>
        <w:t>°</w:t>
      </w:r>
      <w:r>
        <w:rPr>
          <w:rFonts w:hint="eastAsia" w:cs="Times New Roman"/>
          <w:b w:val="0"/>
          <w:bCs w:val="0"/>
          <w:lang w:val="en-US" w:eastAsia="zh-CN"/>
        </w:rPr>
        <w:t>56</w:t>
      </w:r>
      <w:r>
        <w:rPr>
          <w:rFonts w:hint="default" w:ascii="Times New Roman" w:hAnsi="Times New Roman" w:cs="Times New Roman"/>
          <w:b w:val="0"/>
          <w:bCs w:val="0"/>
        </w:rPr>
        <w:t>′</w:t>
      </w:r>
      <w:r>
        <w:rPr>
          <w:rFonts w:hint="eastAsia" w:cs="Times New Roman"/>
          <w:b w:val="0"/>
          <w:bCs w:val="0"/>
          <w:lang w:val="en-US" w:eastAsia="zh-CN"/>
        </w:rPr>
        <w:t>14.18</w:t>
      </w:r>
      <w:r>
        <w:rPr>
          <w:rFonts w:hint="default" w:ascii="Times New Roman" w:hAnsi="Times New Roman" w:cs="Times New Roman"/>
          <w:b w:val="0"/>
          <w:bCs w:val="0"/>
        </w:rPr>
        <w:t>″~11</w:t>
      </w:r>
      <w:r>
        <w:rPr>
          <w:rFonts w:hint="eastAsia" w:cs="Times New Roman"/>
          <w:b w:val="0"/>
          <w:bCs w:val="0"/>
          <w:lang w:val="en-US" w:eastAsia="zh-CN"/>
        </w:rPr>
        <w:t>6</w:t>
      </w:r>
      <w:r>
        <w:rPr>
          <w:rFonts w:hint="default" w:ascii="Times New Roman" w:hAnsi="Times New Roman" w:cs="Times New Roman"/>
          <w:b w:val="0"/>
          <w:bCs w:val="0"/>
        </w:rPr>
        <w:t>°</w:t>
      </w:r>
      <w:r>
        <w:rPr>
          <w:rFonts w:hint="eastAsia" w:cs="Times New Roman"/>
          <w:b w:val="0"/>
          <w:bCs w:val="0"/>
          <w:lang w:val="en-US" w:eastAsia="zh-CN"/>
        </w:rPr>
        <w:t>0</w:t>
      </w:r>
      <w:r>
        <w:rPr>
          <w:rFonts w:hint="default" w:ascii="Times New Roman" w:hAnsi="Times New Roman" w:cs="Times New Roman"/>
          <w:b w:val="0"/>
          <w:bCs w:val="0"/>
        </w:rPr>
        <w:t>′</w:t>
      </w:r>
      <w:r>
        <w:rPr>
          <w:rFonts w:hint="eastAsia" w:cs="Times New Roman"/>
          <w:b w:val="0"/>
          <w:bCs w:val="0"/>
          <w:lang w:val="en-US" w:eastAsia="zh-CN"/>
        </w:rPr>
        <w:t>25.55</w:t>
      </w:r>
      <w:r>
        <w:rPr>
          <w:rFonts w:hint="default" w:ascii="Times New Roman" w:hAnsi="Times New Roman" w:cs="Times New Roman"/>
          <w:b w:val="0"/>
          <w:bCs w:val="0"/>
        </w:rPr>
        <w:t>″</w:t>
      </w:r>
      <w:r>
        <w:rPr>
          <w:rFonts w:hint="eastAsia" w:ascii="Times New Roman" w:hAnsi="Times New Roman"/>
          <w:b w:val="0"/>
          <w:bCs w:val="0"/>
        </w:rPr>
        <w:t>。</w:t>
      </w:r>
    </w:p>
    <w:p>
      <w:pPr>
        <w:ind w:firstLine="482"/>
        <w:rPr>
          <w:rFonts w:hint="default" w:eastAsia="仿宋_GB2312"/>
          <w:b/>
          <w:bCs/>
          <w:lang w:val="en-US" w:eastAsia="zh-CN"/>
        </w:rPr>
      </w:pPr>
      <w:r>
        <w:rPr>
          <w:rFonts w:hint="eastAsia"/>
          <w:b/>
          <w:bCs/>
        </w:rPr>
        <w:t>建设规模：</w:t>
      </w:r>
      <w:r>
        <w:rPr>
          <w:rFonts w:hint="eastAsia"/>
          <w:b w:val="0"/>
          <w:bCs w:val="0"/>
          <w:lang w:val="en-US" w:eastAsia="zh-CN"/>
        </w:rPr>
        <w:t>11.35km架空线路，0.45km直埋电缆。</w:t>
      </w:r>
    </w:p>
    <w:p>
      <w:pPr>
        <w:ind w:firstLine="482"/>
      </w:pPr>
      <w:r>
        <w:rPr>
          <w:b/>
          <w:bCs/>
        </w:rPr>
        <w:t>项目性质</w:t>
      </w:r>
      <w:r>
        <w:t>：新建</w:t>
      </w:r>
      <w:r>
        <w:rPr>
          <w:rFonts w:hint="eastAsia"/>
        </w:rPr>
        <w:t>。</w:t>
      </w:r>
    </w:p>
    <w:p>
      <w:pPr>
        <w:ind w:firstLine="482"/>
      </w:pPr>
      <w:r>
        <w:rPr>
          <w:rFonts w:hint="eastAsia"/>
          <w:b/>
          <w:bCs/>
        </w:rPr>
        <w:t>项目投资：</w:t>
      </w:r>
      <w:r>
        <w:rPr>
          <w:rFonts w:hint="eastAsia"/>
          <w:b w:val="0"/>
          <w:bCs w:val="0"/>
          <w:lang w:val="en-US" w:eastAsia="zh-CN"/>
        </w:rPr>
        <w:t>1535万元</w:t>
      </w:r>
      <w:r>
        <w:rPr>
          <w:rFonts w:hint="eastAsia"/>
        </w:rPr>
        <w:t>。</w:t>
      </w:r>
    </w:p>
    <w:p>
      <w:pPr>
        <w:ind w:firstLine="482"/>
        <w:rPr>
          <w:rFonts w:hint="eastAsia"/>
        </w:rPr>
      </w:pPr>
      <w:r>
        <w:rPr>
          <w:rFonts w:hint="eastAsia"/>
          <w:b/>
          <w:bCs/>
        </w:rPr>
        <w:t>项目时段：</w:t>
      </w:r>
      <w:r>
        <w:rPr>
          <w:rFonts w:hint="eastAsia"/>
        </w:rPr>
        <w:t>项目计划于</w:t>
      </w:r>
      <w:r>
        <w:t>202</w:t>
      </w:r>
      <w:r>
        <w:rPr>
          <w:rFonts w:hint="eastAsia"/>
          <w:lang w:val="en-US" w:eastAsia="zh-CN"/>
        </w:rPr>
        <w:t>0</w:t>
      </w:r>
      <w:r>
        <w:rPr>
          <w:rFonts w:hint="eastAsia"/>
        </w:rPr>
        <w:t>年1</w:t>
      </w:r>
      <w:r>
        <w:rPr>
          <w:rFonts w:hint="eastAsia"/>
          <w:lang w:val="en-US" w:eastAsia="zh-CN"/>
        </w:rPr>
        <w:t>1</w:t>
      </w:r>
      <w:r>
        <w:rPr>
          <w:rFonts w:hint="eastAsia"/>
        </w:rPr>
        <w:t>月开工，预计于2</w:t>
      </w:r>
      <w:r>
        <w:t>02</w:t>
      </w:r>
      <w:r>
        <w:rPr>
          <w:rFonts w:hint="eastAsia"/>
          <w:lang w:val="en-US" w:eastAsia="zh-CN"/>
        </w:rPr>
        <w:t>0</w:t>
      </w:r>
      <w:r>
        <w:rPr>
          <w:rFonts w:hint="eastAsia"/>
        </w:rPr>
        <w:t>年1</w:t>
      </w:r>
      <w:r>
        <w:t>2</w:t>
      </w:r>
      <w:r>
        <w:rPr>
          <w:rFonts w:hint="eastAsia"/>
        </w:rPr>
        <w:t>月完工，总工期</w:t>
      </w:r>
      <w:r>
        <w:rPr>
          <w:rFonts w:hint="eastAsia"/>
          <w:lang w:val="en-US" w:eastAsia="zh-CN"/>
        </w:rPr>
        <w:t>2</w:t>
      </w:r>
      <w:r>
        <w:rPr>
          <w:rFonts w:hint="eastAsia"/>
        </w:rPr>
        <w:t>个月。</w:t>
      </w:r>
    </w:p>
    <w:p>
      <w:pPr>
        <w:spacing w:line="360" w:lineRule="auto"/>
        <w:ind w:firstLine="482" w:firstLineChars="200"/>
        <w:rPr>
          <w:rFonts w:hint="eastAsia" w:ascii="Times New Roman" w:hAnsi="Times New Roman" w:eastAsia="仿宋_GB2312" w:cs="Times New Roman"/>
          <w:sz w:val="24"/>
          <w:szCs w:val="22"/>
          <w:lang w:val="en-US" w:eastAsia="zh-CN"/>
        </w:rPr>
      </w:pPr>
      <w:r>
        <w:rPr>
          <w:rFonts w:hint="eastAsia"/>
          <w:b/>
          <w:bCs/>
          <w:lang w:val="en-US" w:eastAsia="zh-CN"/>
        </w:rPr>
        <w:t>项目组成：</w:t>
      </w:r>
      <w:r>
        <w:rPr>
          <w:rFonts w:hint="eastAsia" w:ascii="Times New Roman" w:hAnsi="Times New Roman" w:eastAsia="仿宋_GB2312" w:cs="Times New Roman"/>
          <w:sz w:val="24"/>
          <w:szCs w:val="22"/>
          <w:lang w:val="en-US" w:eastAsia="zh-CN"/>
        </w:rPr>
        <w:t>本工程线路自拟建</w:t>
      </w:r>
      <w:r>
        <w:rPr>
          <w:rFonts w:hint="default" w:ascii="Times New Roman" w:hAnsi="Times New Roman" w:eastAsia="仿宋_GB2312" w:cs="Times New Roman"/>
          <w:sz w:val="24"/>
          <w:szCs w:val="22"/>
          <w:lang w:val="en-US" w:eastAsia="zh-CN"/>
        </w:rPr>
        <w:t>110kV</w:t>
      </w:r>
      <w:r>
        <w:rPr>
          <w:rFonts w:hint="eastAsia" w:ascii="Times New Roman" w:hAnsi="Times New Roman" w:eastAsia="仿宋_GB2312" w:cs="Times New Roman"/>
          <w:sz w:val="24"/>
          <w:szCs w:val="22"/>
          <w:lang w:val="en-US" w:eastAsia="zh-CN"/>
        </w:rPr>
        <w:t>高塘升压站</w:t>
      </w:r>
      <w:r>
        <w:rPr>
          <w:rFonts w:hint="default" w:ascii="Times New Roman" w:hAnsi="Times New Roman" w:eastAsia="仿宋_GB2312" w:cs="Times New Roman"/>
          <w:sz w:val="24"/>
          <w:szCs w:val="22"/>
          <w:lang w:val="en-US" w:eastAsia="zh-CN"/>
        </w:rPr>
        <w:t>110kV</w:t>
      </w:r>
      <w:r>
        <w:rPr>
          <w:rFonts w:hint="eastAsia" w:ascii="Times New Roman" w:hAnsi="Times New Roman" w:eastAsia="仿宋_GB2312" w:cs="Times New Roman"/>
          <w:sz w:val="24"/>
          <w:szCs w:val="22"/>
          <w:lang w:val="en-US" w:eastAsia="zh-CN"/>
        </w:rPr>
        <w:t>构架起，至已建</w:t>
      </w:r>
      <w:r>
        <w:rPr>
          <w:rFonts w:hint="default" w:ascii="Times New Roman" w:hAnsi="Times New Roman" w:eastAsia="仿宋_GB2312" w:cs="Times New Roman"/>
          <w:sz w:val="24"/>
          <w:szCs w:val="22"/>
          <w:lang w:val="en-US" w:eastAsia="zh-CN"/>
        </w:rPr>
        <w:t>220kV</w:t>
      </w:r>
      <w:r>
        <w:rPr>
          <w:rFonts w:hint="eastAsia" w:ascii="Times New Roman" w:hAnsi="Times New Roman" w:eastAsia="仿宋_GB2312" w:cs="Times New Roman"/>
          <w:sz w:val="24"/>
          <w:szCs w:val="22"/>
          <w:lang w:val="en-US" w:eastAsia="zh-CN"/>
        </w:rPr>
        <w:t>冯井变</w:t>
      </w:r>
      <w:r>
        <w:rPr>
          <w:rFonts w:hint="default" w:ascii="Times New Roman" w:hAnsi="Times New Roman" w:eastAsia="仿宋_GB2312" w:cs="Times New Roman"/>
          <w:sz w:val="24"/>
          <w:szCs w:val="22"/>
          <w:lang w:val="en-US" w:eastAsia="zh-CN"/>
        </w:rPr>
        <w:t>110kV</w:t>
      </w:r>
      <w:r>
        <w:rPr>
          <w:rFonts w:hint="eastAsia" w:ascii="Times New Roman" w:hAnsi="Times New Roman" w:eastAsia="仿宋_GB2312" w:cs="Times New Roman"/>
          <w:sz w:val="24"/>
          <w:szCs w:val="22"/>
          <w:lang w:val="en-US" w:eastAsia="zh-CN"/>
        </w:rPr>
        <w:t>构架止，新建线路路径总长约</w:t>
      </w:r>
      <w:r>
        <w:rPr>
          <w:rFonts w:hint="default" w:ascii="Times New Roman" w:hAnsi="Times New Roman" w:eastAsia="仿宋_GB2312" w:cs="Times New Roman"/>
          <w:sz w:val="24"/>
          <w:szCs w:val="22"/>
          <w:lang w:val="en-US" w:eastAsia="zh-CN"/>
        </w:rPr>
        <w:t>11.8km</w:t>
      </w:r>
      <w:r>
        <w:rPr>
          <w:rFonts w:hint="eastAsia" w:ascii="Times New Roman" w:hAnsi="Times New Roman" w:eastAsia="仿宋_GB2312" w:cs="Times New Roman"/>
          <w:sz w:val="24"/>
          <w:szCs w:val="22"/>
          <w:lang w:val="en-US" w:eastAsia="zh-CN"/>
        </w:rPr>
        <w:t>，</w:t>
      </w:r>
      <w:r>
        <w:rPr>
          <w:rFonts w:hint="eastAsia" w:ascii="Times New Roman" w:hAnsi="Times New Roman" w:cs="Times New Roman"/>
          <w:sz w:val="24"/>
          <w:szCs w:val="22"/>
          <w:lang w:val="en-US" w:eastAsia="zh-CN"/>
        </w:rPr>
        <w:t>架空线路11.35</w:t>
      </w:r>
      <w:r>
        <w:rPr>
          <w:rFonts w:hint="default" w:ascii="Times New Roman" w:hAnsi="Times New Roman" w:eastAsia="仿宋_GB2312" w:cs="Times New Roman"/>
          <w:sz w:val="24"/>
          <w:szCs w:val="22"/>
          <w:lang w:val="en-US" w:eastAsia="zh-CN"/>
        </w:rPr>
        <w:t>km</w:t>
      </w:r>
      <w:r>
        <w:rPr>
          <w:rFonts w:hint="eastAsia" w:ascii="Times New Roman" w:hAnsi="Times New Roman" w:cs="Times New Roman"/>
          <w:sz w:val="24"/>
          <w:szCs w:val="22"/>
          <w:lang w:val="en-US" w:eastAsia="zh-CN"/>
        </w:rPr>
        <w:t>，直埋电缆0.45km</w:t>
      </w:r>
      <w:r>
        <w:rPr>
          <w:rFonts w:hint="eastAsia" w:ascii="Times New Roman" w:hAnsi="Times New Roman" w:eastAsia="仿宋" w:cs="Times New Roman"/>
          <w:sz w:val="24"/>
          <w:szCs w:val="32"/>
          <w:lang w:val="en-US" w:eastAsia="zh-CN"/>
        </w:rPr>
        <w:t>。</w:t>
      </w:r>
      <w:r>
        <w:rPr>
          <w:rFonts w:hint="eastAsia" w:ascii="Times New Roman" w:hAnsi="Times New Roman" w:eastAsia="仿宋_GB2312" w:cs="Times New Roman"/>
          <w:sz w:val="24"/>
          <w:szCs w:val="22"/>
          <w:lang w:val="en-US" w:eastAsia="zh-CN"/>
        </w:rPr>
        <w:t>其中涉及土建部分主要由</w:t>
      </w:r>
      <w:r>
        <w:rPr>
          <w:rFonts w:hint="eastAsia" w:ascii="Times New Roman" w:hAnsi="Times New Roman" w:cs="Times New Roman"/>
          <w:sz w:val="24"/>
          <w:szCs w:val="22"/>
          <w:lang w:val="en-US" w:eastAsia="zh-CN"/>
        </w:rPr>
        <w:t>集电线路</w:t>
      </w:r>
      <w:r>
        <w:rPr>
          <w:rFonts w:hint="eastAsia" w:ascii="Times New Roman" w:hAnsi="Times New Roman" w:eastAsia="仿宋_GB2312" w:cs="Times New Roman"/>
          <w:sz w:val="24"/>
          <w:szCs w:val="22"/>
          <w:lang w:val="en-US" w:eastAsia="zh-CN"/>
        </w:rPr>
        <w:t>区、</w:t>
      </w:r>
      <w:r>
        <w:rPr>
          <w:rFonts w:hint="eastAsia" w:ascii="Times New Roman" w:hAnsi="Times New Roman" w:cs="Times New Roman"/>
          <w:sz w:val="24"/>
          <w:szCs w:val="22"/>
          <w:lang w:val="en-US" w:eastAsia="zh-CN"/>
        </w:rPr>
        <w:t>施工道路</w:t>
      </w:r>
      <w:r>
        <w:rPr>
          <w:rFonts w:hint="eastAsia" w:ascii="Times New Roman" w:hAnsi="Times New Roman" w:eastAsia="仿宋_GB2312" w:cs="Times New Roman"/>
          <w:sz w:val="24"/>
          <w:szCs w:val="22"/>
          <w:lang w:val="en-US" w:eastAsia="zh-CN"/>
        </w:rPr>
        <w:t>区、</w:t>
      </w:r>
      <w:r>
        <w:rPr>
          <w:rFonts w:hint="eastAsia" w:ascii="Times New Roman" w:hAnsi="Times New Roman" w:cs="Times New Roman"/>
          <w:sz w:val="24"/>
          <w:szCs w:val="22"/>
          <w:lang w:val="en-US" w:eastAsia="zh-CN"/>
        </w:rPr>
        <w:t>牵张场</w:t>
      </w:r>
      <w:r>
        <w:rPr>
          <w:rFonts w:hint="eastAsia" w:ascii="Times New Roman" w:hAnsi="Times New Roman" w:eastAsia="仿宋_GB2312" w:cs="Times New Roman"/>
          <w:sz w:val="24"/>
          <w:szCs w:val="22"/>
          <w:lang w:val="en-US" w:eastAsia="zh-CN"/>
        </w:rPr>
        <w:t>区共3部分组成。</w:t>
      </w:r>
    </w:p>
    <w:p>
      <w:pPr>
        <w:spacing w:line="360" w:lineRule="auto"/>
        <w:ind w:firstLine="482" w:firstLineChars="200"/>
        <w:rPr>
          <w:rFonts w:hint="default" w:ascii="Times New Roman" w:hAnsi="Times New Roman" w:eastAsia="仿宋_GB2312" w:cstheme="minorBidi"/>
          <w:b/>
          <w:bCs/>
          <w:kern w:val="2"/>
          <w:sz w:val="24"/>
          <w:szCs w:val="22"/>
          <w:lang w:val="en-US" w:eastAsia="zh-CN" w:bidi="ar-SA"/>
        </w:rPr>
      </w:pPr>
      <w:r>
        <w:rPr>
          <w:rFonts w:hint="eastAsia" w:ascii="Times New Roman" w:hAnsi="Times New Roman" w:eastAsia="仿宋_GB2312" w:cstheme="minorBidi"/>
          <w:b/>
          <w:bCs/>
          <w:kern w:val="2"/>
          <w:sz w:val="24"/>
          <w:szCs w:val="22"/>
          <w:lang w:val="en-US" w:eastAsia="zh-CN" w:bidi="ar-SA"/>
        </w:rPr>
        <w:t>项目占地</w:t>
      </w:r>
      <w:r>
        <w:rPr>
          <w:rFonts w:hint="eastAsia" w:cstheme="minorBidi"/>
          <w:b/>
          <w:bCs/>
          <w:kern w:val="2"/>
          <w:sz w:val="24"/>
          <w:szCs w:val="22"/>
          <w:lang w:val="en-US" w:eastAsia="zh-CN" w:bidi="ar-SA"/>
        </w:rPr>
        <w:t>：</w:t>
      </w:r>
      <w:r>
        <w:rPr>
          <w:rFonts w:ascii="Times New Roman" w:hAnsi="Times New Roman" w:eastAsia="仿宋_GB2312" w:cs="Times New Roman"/>
          <w:sz w:val="24"/>
          <w:szCs w:val="22"/>
          <w:highlight w:val="none"/>
        </w:rPr>
        <w:t>总占地面积</w:t>
      </w:r>
      <w:r>
        <w:rPr>
          <w:rFonts w:hint="eastAsia" w:ascii="Times New Roman" w:hAnsi="Times New Roman" w:cs="Times New Roman"/>
          <w:sz w:val="24"/>
          <w:szCs w:val="22"/>
          <w:highlight w:val="none"/>
          <w:lang w:val="en-US" w:eastAsia="zh-CN"/>
        </w:rPr>
        <w:t>2.88</w:t>
      </w:r>
      <w:r>
        <w:rPr>
          <w:rFonts w:ascii="Times New Roman" w:hAnsi="Times New Roman" w:eastAsia="仿宋_GB2312" w:cs="Times New Roman"/>
          <w:sz w:val="24"/>
          <w:szCs w:val="22"/>
          <w:highlight w:val="none"/>
        </w:rPr>
        <w:t>hm²，</w:t>
      </w:r>
      <w:r>
        <w:rPr>
          <w:rFonts w:hint="eastAsia" w:ascii="Times New Roman" w:hAnsi="Times New Roman" w:eastAsia="仿宋_GB2312" w:cs="Times New Roman"/>
          <w:sz w:val="24"/>
          <w:szCs w:val="22"/>
          <w:highlight w:val="none"/>
        </w:rPr>
        <w:t>其中永久占地</w:t>
      </w:r>
      <w:r>
        <w:rPr>
          <w:rFonts w:hint="eastAsia" w:ascii="Times New Roman" w:hAnsi="Times New Roman" w:cs="Times New Roman"/>
          <w:sz w:val="24"/>
          <w:szCs w:val="22"/>
          <w:highlight w:val="none"/>
          <w:lang w:val="en-US" w:eastAsia="zh-CN"/>
        </w:rPr>
        <w:t>0.</w:t>
      </w:r>
      <w:r>
        <w:rPr>
          <w:rFonts w:hint="eastAsia" w:cs="Times New Roman"/>
          <w:sz w:val="24"/>
          <w:szCs w:val="22"/>
          <w:highlight w:val="none"/>
          <w:lang w:val="en-US" w:eastAsia="zh-CN"/>
        </w:rPr>
        <w:t>14</w:t>
      </w:r>
      <w:r>
        <w:rPr>
          <w:rFonts w:hint="eastAsia" w:ascii="Times New Roman" w:hAnsi="Times New Roman" w:eastAsia="仿宋_GB2312" w:cs="Times New Roman"/>
          <w:sz w:val="24"/>
          <w:szCs w:val="22"/>
          <w:highlight w:val="none"/>
        </w:rPr>
        <w:t>hm</w:t>
      </w:r>
      <w:r>
        <w:rPr>
          <w:rFonts w:hint="eastAsia" w:ascii="Times New Roman" w:hAnsi="Times New Roman" w:eastAsia="仿宋_GB2312" w:cs="Times New Roman"/>
          <w:sz w:val="24"/>
          <w:szCs w:val="22"/>
          <w:highlight w:val="none"/>
          <w:vertAlign w:val="superscript"/>
        </w:rPr>
        <w:t>2</w:t>
      </w:r>
      <w:r>
        <w:rPr>
          <w:rFonts w:hint="eastAsia" w:ascii="Times New Roman" w:hAnsi="Times New Roman" w:eastAsia="仿宋_GB2312" w:cs="Times New Roman"/>
          <w:sz w:val="24"/>
          <w:szCs w:val="22"/>
          <w:highlight w:val="none"/>
        </w:rPr>
        <w:t>，临时占地</w:t>
      </w:r>
      <w:r>
        <w:rPr>
          <w:rFonts w:hint="eastAsia" w:ascii="Times New Roman" w:hAnsi="Times New Roman" w:cs="Times New Roman"/>
          <w:sz w:val="24"/>
          <w:szCs w:val="22"/>
          <w:highlight w:val="none"/>
          <w:lang w:val="en-US" w:eastAsia="zh-CN"/>
        </w:rPr>
        <w:t>2.</w:t>
      </w:r>
      <w:r>
        <w:rPr>
          <w:rFonts w:hint="eastAsia" w:cs="Times New Roman"/>
          <w:sz w:val="24"/>
          <w:szCs w:val="22"/>
          <w:highlight w:val="none"/>
          <w:lang w:val="en-US" w:eastAsia="zh-CN"/>
        </w:rPr>
        <w:t>74</w:t>
      </w:r>
      <w:r>
        <w:rPr>
          <w:rFonts w:hint="eastAsia" w:ascii="Times New Roman" w:hAnsi="Times New Roman" w:eastAsia="仿宋_GB2312" w:cs="Times New Roman"/>
          <w:sz w:val="24"/>
          <w:szCs w:val="22"/>
          <w:highlight w:val="none"/>
        </w:rPr>
        <w:t>hm</w:t>
      </w:r>
      <w:r>
        <w:rPr>
          <w:rFonts w:hint="eastAsia" w:ascii="Times New Roman" w:hAnsi="Times New Roman" w:eastAsia="仿宋_GB2312" w:cs="Times New Roman"/>
          <w:sz w:val="24"/>
          <w:szCs w:val="22"/>
          <w:highlight w:val="none"/>
          <w:vertAlign w:val="superscript"/>
        </w:rPr>
        <w:t>2</w:t>
      </w:r>
      <w:r>
        <w:rPr>
          <w:rFonts w:hint="eastAsia" w:ascii="Times New Roman" w:hAnsi="Times New Roman" w:cs="Times New Roman"/>
          <w:sz w:val="24"/>
          <w:szCs w:val="22"/>
          <w:highlight w:val="none"/>
          <w:vertAlign w:val="baseline"/>
          <w:lang w:val="en-US" w:eastAsia="zh-CN"/>
        </w:rPr>
        <w:t>.</w:t>
      </w:r>
    </w:p>
    <w:p>
      <w:pPr>
        <w:tabs>
          <w:tab w:val="left" w:pos="756"/>
        </w:tabs>
        <w:adjustRightInd w:val="0"/>
        <w:snapToGrid w:val="0"/>
        <w:spacing w:beforeLines="50" w:line="240" w:lineRule="auto"/>
        <w:ind w:firstLine="0" w:firstLineChars="0"/>
        <w:jc w:val="center"/>
        <w:rPr>
          <w:rFonts w:hint="eastAsia" w:ascii="仿宋_GB2312" w:hAnsi="仿宋_GB2312" w:eastAsia="仿宋_GB2312" w:cs="仿宋_GB2312"/>
          <w:b/>
          <w:bCs/>
          <w:sz w:val="21"/>
          <w:szCs w:val="21"/>
        </w:rPr>
      </w:pPr>
    </w:p>
    <w:p>
      <w:pPr>
        <w:tabs>
          <w:tab w:val="left" w:pos="756"/>
        </w:tabs>
        <w:adjustRightInd w:val="0"/>
        <w:snapToGrid w:val="0"/>
        <w:spacing w:beforeLines="50" w:line="240" w:lineRule="auto"/>
        <w:ind w:firstLine="0" w:firstLineChars="0"/>
        <w:jc w:val="center"/>
        <w:rPr>
          <w:rFonts w:hint="eastAsia" w:ascii="仿宋_GB2312" w:hAnsi="仿宋_GB2312" w:eastAsia="仿宋_GB2312" w:cs="仿宋_GB2312"/>
          <w:b/>
          <w:bCs/>
          <w:sz w:val="21"/>
          <w:szCs w:val="21"/>
        </w:rPr>
      </w:pPr>
    </w:p>
    <w:p>
      <w:pPr>
        <w:tabs>
          <w:tab w:val="left" w:pos="756"/>
        </w:tabs>
        <w:adjustRightInd w:val="0"/>
        <w:snapToGrid w:val="0"/>
        <w:spacing w:beforeLines="50" w:line="240" w:lineRule="auto"/>
        <w:ind w:firstLine="0" w:firstLineChars="0"/>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表</w:t>
      </w:r>
      <w:r>
        <w:rPr>
          <w:rFonts w:hint="default" w:ascii="Times New Roman" w:hAnsi="Times New Roman" w:eastAsia="仿宋_GB2312" w:cs="Times New Roman"/>
          <w:b/>
          <w:bCs/>
          <w:sz w:val="21"/>
          <w:szCs w:val="21"/>
        </w:rPr>
        <w:t>1</w:t>
      </w:r>
      <w:r>
        <w:rPr>
          <w:rFonts w:hint="eastAsia" w:ascii="仿宋_GB2312" w:hAnsi="仿宋_GB2312" w:eastAsia="仿宋_GB2312" w:cs="仿宋_GB2312"/>
          <w:b/>
          <w:bCs/>
          <w:sz w:val="21"/>
          <w:szCs w:val="21"/>
        </w:rPr>
        <w:t xml:space="preserve">  工程</w:t>
      </w:r>
      <w:r>
        <w:rPr>
          <w:rFonts w:hint="eastAsia" w:ascii="仿宋_GB2312" w:hAnsi="仿宋_GB2312" w:cs="仿宋_GB2312"/>
          <w:b/>
          <w:bCs/>
          <w:sz w:val="21"/>
          <w:szCs w:val="21"/>
          <w:lang w:val="en-US" w:eastAsia="zh-CN"/>
        </w:rPr>
        <w:t>项目</w:t>
      </w:r>
      <w:r>
        <w:rPr>
          <w:rFonts w:hint="eastAsia" w:ascii="仿宋_GB2312" w:hAnsi="仿宋_GB2312" w:eastAsia="仿宋_GB2312" w:cs="仿宋_GB2312"/>
          <w:b/>
          <w:bCs/>
          <w:sz w:val="21"/>
          <w:szCs w:val="21"/>
        </w:rPr>
        <w:t>组成表</w:t>
      </w:r>
    </w:p>
    <w:tbl>
      <w:tblPr>
        <w:tblStyle w:val="15"/>
        <w:tblW w:w="829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33"/>
        <w:gridCol w:w="1145"/>
        <w:gridCol w:w="581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9" w:hRule="atLeast"/>
          <w:jc w:val="center"/>
        </w:trPr>
        <w:tc>
          <w:tcPr>
            <w:tcW w:w="1333" w:type="dxa"/>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建设区域</w:t>
            </w:r>
          </w:p>
        </w:tc>
        <w:tc>
          <w:tcPr>
            <w:tcW w:w="1145" w:type="dxa"/>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面积hm</w:t>
            </w:r>
            <w:r>
              <w:rPr>
                <w:rFonts w:ascii="Times New Roman" w:hAnsi="Times New Roman" w:eastAsia="仿宋_GB2312" w:cs="Times New Roman"/>
                <w:b/>
                <w:bCs/>
                <w:kern w:val="0"/>
                <w:sz w:val="21"/>
                <w:szCs w:val="21"/>
                <w:vertAlign w:val="superscript"/>
              </w:rPr>
              <w:t>2</w:t>
            </w:r>
          </w:p>
        </w:tc>
        <w:tc>
          <w:tcPr>
            <w:tcW w:w="5818" w:type="dxa"/>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33"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集电线路区</w:t>
            </w:r>
          </w:p>
        </w:tc>
        <w:tc>
          <w:tcPr>
            <w:tcW w:w="1145"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ascii="Times New Roman" w:hAnsi="Times New Roman" w:eastAsia="仿宋_GB2312" w:cs="Times New Roman"/>
                <w:b w:val="0"/>
                <w:bCs w:val="0"/>
                <w:kern w:val="0"/>
                <w:sz w:val="21"/>
                <w:szCs w:val="21"/>
              </w:rPr>
              <w:t>1.</w:t>
            </w:r>
            <w:r>
              <w:rPr>
                <w:rFonts w:hint="eastAsia" w:ascii="Times New Roman" w:hAnsi="Times New Roman" w:cs="Times New Roman"/>
                <w:b w:val="0"/>
                <w:bCs w:val="0"/>
                <w:kern w:val="0"/>
                <w:sz w:val="21"/>
                <w:szCs w:val="21"/>
                <w:lang w:val="en-US" w:eastAsia="zh-CN"/>
              </w:rPr>
              <w:t>85</w:t>
            </w:r>
          </w:p>
        </w:tc>
        <w:tc>
          <w:tcPr>
            <w:tcW w:w="5818" w:type="dxa"/>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val="0"/>
                <w:bCs w:val="0"/>
                <w:kern w:val="0"/>
                <w:sz w:val="21"/>
                <w:szCs w:val="21"/>
                <w:lang w:val="en-US" w:eastAsia="zh-CN"/>
              </w:rPr>
            </w:pPr>
            <w:r>
              <w:rPr>
                <w:rFonts w:ascii="Times New Roman" w:hAnsi="Times New Roman" w:eastAsia="仿宋_GB2312" w:cs="Times New Roman"/>
                <w:b w:val="0"/>
                <w:bCs w:val="0"/>
                <w:kern w:val="0"/>
                <w:sz w:val="21"/>
                <w:szCs w:val="21"/>
                <w:lang w:val="en-US" w:eastAsia="zh-CN"/>
              </w:rPr>
              <w:t>包括</w:t>
            </w:r>
            <w:r>
              <w:rPr>
                <w:rFonts w:hint="eastAsia" w:ascii="Times New Roman" w:hAnsi="Times New Roman" w:eastAsia="仿宋_GB2312" w:cs="Times New Roman"/>
                <w:b w:val="0"/>
                <w:bCs w:val="0"/>
                <w:kern w:val="0"/>
                <w:sz w:val="21"/>
                <w:szCs w:val="21"/>
                <w:lang w:val="en-US" w:eastAsia="zh-CN"/>
              </w:rPr>
              <w:t>基</w:t>
            </w:r>
            <w:r>
              <w:rPr>
                <w:rFonts w:ascii="Times New Roman" w:hAnsi="Times New Roman" w:eastAsia="仿宋_GB2312" w:cs="Times New Roman"/>
                <w:b w:val="0"/>
                <w:bCs w:val="0"/>
                <w:kern w:val="0"/>
                <w:sz w:val="21"/>
                <w:szCs w:val="21"/>
                <w:lang w:val="en-US" w:eastAsia="zh-CN"/>
              </w:rPr>
              <w:t>铁塔基础及施工吊装场地，</w:t>
            </w:r>
            <w:r>
              <w:rPr>
                <w:rFonts w:hint="default" w:ascii="Times New Roman" w:hAnsi="Times New Roman" w:eastAsia="仿宋_GB2312" w:cs="Times New Roman"/>
                <w:b w:val="0"/>
                <w:bCs w:val="0"/>
                <w:kern w:val="0"/>
                <w:sz w:val="21"/>
                <w:szCs w:val="21"/>
                <w:lang w:val="en-US" w:eastAsia="zh-CN"/>
              </w:rPr>
              <w:t>单个场地占地400m</w:t>
            </w:r>
            <w:r>
              <w:rPr>
                <w:rFonts w:hint="default" w:ascii="Times New Roman" w:hAnsi="Times New Roman" w:eastAsia="仿宋_GB2312" w:cs="Times New Roman"/>
                <w:b w:val="0"/>
                <w:bCs w:val="0"/>
                <w:kern w:val="0"/>
                <w:sz w:val="21"/>
                <w:szCs w:val="21"/>
                <w:vertAlign w:val="superscript"/>
                <w:lang w:val="en-US" w:eastAsia="zh-CN"/>
              </w:rPr>
              <w:t>2</w:t>
            </w:r>
            <w:r>
              <w:rPr>
                <w:rFonts w:hint="default" w:ascii="Times New Roman" w:hAnsi="Times New Roman" w:eastAsia="仿宋_GB2312" w:cs="Times New Roman"/>
                <w:b w:val="0"/>
                <w:bCs w:val="0"/>
                <w:kern w:val="0"/>
                <w:sz w:val="21"/>
                <w:szCs w:val="21"/>
                <w:lang w:val="en-US" w:eastAsia="zh-CN"/>
              </w:rPr>
              <w:t>。总占地</w:t>
            </w:r>
            <w:r>
              <w:rPr>
                <w:rFonts w:hint="eastAsia" w:ascii="Times New Roman" w:hAnsi="Times New Roman" w:cs="Times New Roman"/>
                <w:b w:val="0"/>
                <w:bCs w:val="0"/>
                <w:kern w:val="0"/>
                <w:sz w:val="21"/>
                <w:szCs w:val="21"/>
                <w:lang w:val="en-US" w:eastAsia="zh-CN"/>
              </w:rPr>
              <w:t>1.60</w:t>
            </w:r>
            <w:r>
              <w:rPr>
                <w:rFonts w:hint="default" w:ascii="Times New Roman" w:hAnsi="Times New Roman" w:eastAsia="仿宋_GB2312" w:cs="Times New Roman"/>
                <w:b w:val="0"/>
                <w:bCs w:val="0"/>
                <w:kern w:val="0"/>
                <w:sz w:val="21"/>
                <w:szCs w:val="21"/>
                <w:lang w:val="en-US" w:eastAsia="zh-CN"/>
              </w:rPr>
              <w:t>hm</w:t>
            </w:r>
            <w:r>
              <w:rPr>
                <w:rFonts w:hint="default" w:ascii="Times New Roman" w:hAnsi="Times New Roman" w:eastAsia="仿宋_GB2312" w:cs="Times New Roman"/>
                <w:b w:val="0"/>
                <w:bCs w:val="0"/>
                <w:kern w:val="0"/>
                <w:sz w:val="21"/>
                <w:szCs w:val="21"/>
                <w:vertAlign w:val="superscript"/>
                <w:lang w:val="en-US" w:eastAsia="zh-CN"/>
              </w:rPr>
              <w:t>2</w:t>
            </w:r>
            <w:r>
              <w:rPr>
                <w:rFonts w:hint="default" w:ascii="Times New Roman" w:hAnsi="Times New Roman" w:eastAsia="仿宋_GB2312" w:cs="Times New Roman"/>
                <w:b w:val="0"/>
                <w:bCs w:val="0"/>
                <w:kern w:val="0"/>
                <w:sz w:val="21"/>
                <w:szCs w:val="21"/>
                <w:lang w:val="en-US" w:eastAsia="zh-CN"/>
              </w:rPr>
              <w:t>；</w:t>
            </w:r>
            <w:r>
              <w:rPr>
                <w:rFonts w:hint="eastAsia" w:ascii="Times New Roman" w:hAnsi="Times New Roman" w:eastAsia="仿宋_GB2312" w:cs="Times New Roman"/>
                <w:b w:val="0"/>
                <w:bCs w:val="0"/>
                <w:kern w:val="0"/>
                <w:sz w:val="21"/>
                <w:szCs w:val="21"/>
                <w:lang w:val="en-US" w:eastAsia="zh-CN"/>
              </w:rPr>
              <w:t>其中</w:t>
            </w:r>
            <w:r>
              <w:rPr>
                <w:rFonts w:hint="eastAsia" w:ascii="Times New Roman" w:hAnsi="Times New Roman" w:cs="Times New Roman"/>
                <w:b w:val="0"/>
                <w:bCs w:val="0"/>
                <w:kern w:val="0"/>
                <w:sz w:val="21"/>
                <w:szCs w:val="21"/>
                <w:lang w:val="en-US" w:eastAsia="zh-CN"/>
              </w:rPr>
              <w:t>19</w:t>
            </w:r>
            <w:r>
              <w:rPr>
                <w:rFonts w:hint="eastAsia" w:ascii="Times New Roman" w:hAnsi="Times New Roman" w:eastAsia="仿宋_GB2312" w:cs="Times New Roman"/>
                <w:b w:val="0"/>
                <w:bCs w:val="0"/>
                <w:kern w:val="0"/>
                <w:sz w:val="21"/>
                <w:szCs w:val="21"/>
                <w:lang w:val="en-US" w:eastAsia="zh-CN"/>
              </w:rPr>
              <w:t>座耐张塔基、</w:t>
            </w:r>
            <w:r>
              <w:rPr>
                <w:rFonts w:hint="eastAsia" w:ascii="Times New Roman" w:hAnsi="Times New Roman" w:cs="Times New Roman"/>
                <w:b w:val="0"/>
                <w:bCs w:val="0"/>
                <w:kern w:val="0"/>
                <w:sz w:val="21"/>
                <w:szCs w:val="21"/>
                <w:lang w:val="en-US" w:eastAsia="zh-CN"/>
              </w:rPr>
              <w:t>21</w:t>
            </w:r>
            <w:r>
              <w:rPr>
                <w:rFonts w:hint="eastAsia" w:ascii="Times New Roman" w:hAnsi="Times New Roman" w:eastAsia="仿宋_GB2312" w:cs="Times New Roman"/>
                <w:b w:val="0"/>
                <w:bCs w:val="0"/>
                <w:kern w:val="0"/>
                <w:sz w:val="21"/>
                <w:szCs w:val="21"/>
                <w:lang w:val="en-US" w:eastAsia="zh-CN"/>
              </w:rPr>
              <w:t>座直线塔。</w:t>
            </w:r>
            <w:r>
              <w:rPr>
                <w:rFonts w:ascii="Times New Roman" w:hAnsi="Times New Roman" w:eastAsia="仿宋_GB2312" w:cs="Times New Roman"/>
                <w:b w:val="0"/>
                <w:bCs w:val="0"/>
                <w:kern w:val="0"/>
                <w:sz w:val="21"/>
                <w:szCs w:val="21"/>
                <w:lang w:val="en-US" w:eastAsia="zh-CN"/>
              </w:rPr>
              <w:t>建</w:t>
            </w:r>
            <w:r>
              <w:rPr>
                <w:rFonts w:hint="eastAsia" w:ascii="Times New Roman" w:hAnsi="Times New Roman" w:cs="Times New Roman"/>
                <w:b w:val="0"/>
                <w:bCs w:val="0"/>
                <w:kern w:val="0"/>
                <w:sz w:val="21"/>
                <w:szCs w:val="21"/>
                <w:lang w:val="en-US" w:eastAsia="zh-CN"/>
              </w:rPr>
              <w:t>设0.45</w:t>
            </w:r>
            <w:r>
              <w:rPr>
                <w:rFonts w:ascii="Times New Roman" w:hAnsi="Times New Roman" w:eastAsia="仿宋_GB2312" w:cs="Times New Roman"/>
                <w:b w:val="0"/>
                <w:bCs w:val="0"/>
                <w:kern w:val="0"/>
                <w:sz w:val="21"/>
                <w:szCs w:val="21"/>
                <w:lang w:val="en-US" w:eastAsia="zh-CN"/>
              </w:rPr>
              <w:t>km</w:t>
            </w:r>
            <w:r>
              <w:rPr>
                <w:rFonts w:hint="default" w:ascii="Times New Roman" w:hAnsi="Times New Roman" w:eastAsia="仿宋_GB2312" w:cs="Times New Roman"/>
                <w:b w:val="0"/>
                <w:bCs w:val="0"/>
                <w:kern w:val="0"/>
                <w:sz w:val="21"/>
                <w:szCs w:val="21"/>
                <w:lang w:val="en-US" w:eastAsia="zh-CN"/>
              </w:rPr>
              <w:t>直埋电缆</w:t>
            </w:r>
            <w:r>
              <w:rPr>
                <w:rFonts w:ascii="Times New Roman" w:hAnsi="Times New Roman" w:eastAsia="仿宋_GB2312" w:cs="Times New Roman"/>
                <w:b w:val="0"/>
                <w:bCs w:val="0"/>
                <w:kern w:val="0"/>
                <w:sz w:val="21"/>
                <w:szCs w:val="21"/>
                <w:lang w:val="en-US" w:eastAsia="zh-CN"/>
              </w:rPr>
              <w:t>，</w:t>
            </w:r>
            <w:r>
              <w:rPr>
                <w:rFonts w:hint="default" w:ascii="Times New Roman" w:hAnsi="Times New Roman" w:eastAsia="仿宋_GB2312" w:cs="Times New Roman"/>
                <w:b w:val="0"/>
                <w:bCs w:val="0"/>
                <w:kern w:val="0"/>
                <w:sz w:val="21"/>
                <w:szCs w:val="21"/>
                <w:lang w:val="en-US" w:eastAsia="zh-CN"/>
              </w:rPr>
              <w:t>占地</w:t>
            </w:r>
            <w:r>
              <w:rPr>
                <w:rFonts w:hint="eastAsia" w:ascii="Times New Roman" w:hAnsi="Times New Roman" w:cs="Times New Roman"/>
                <w:b w:val="0"/>
                <w:bCs w:val="0"/>
                <w:kern w:val="0"/>
                <w:sz w:val="21"/>
                <w:szCs w:val="21"/>
                <w:lang w:val="en-US" w:eastAsia="zh-CN"/>
              </w:rPr>
              <w:t>0.25</w:t>
            </w:r>
            <w:r>
              <w:rPr>
                <w:rFonts w:hint="default" w:ascii="Times New Roman" w:hAnsi="Times New Roman" w:eastAsia="仿宋_GB2312" w:cs="Times New Roman"/>
                <w:b w:val="0"/>
                <w:bCs w:val="0"/>
                <w:kern w:val="0"/>
                <w:sz w:val="21"/>
                <w:szCs w:val="21"/>
                <w:lang w:val="en-US" w:eastAsia="zh-CN"/>
              </w:rPr>
              <w:t>hm</w:t>
            </w:r>
            <w:r>
              <w:rPr>
                <w:rFonts w:hint="default" w:ascii="Times New Roman" w:hAnsi="Times New Roman" w:eastAsia="仿宋_GB2312" w:cs="Times New Roman"/>
                <w:b w:val="0"/>
                <w:bCs w:val="0"/>
                <w:kern w:val="0"/>
                <w:sz w:val="21"/>
                <w:szCs w:val="21"/>
                <w:vertAlign w:val="superscript"/>
                <w:lang w:val="en-US" w:eastAsia="zh-CN"/>
              </w:rPr>
              <w:t>2</w:t>
            </w:r>
            <w:r>
              <w:rPr>
                <w:rFonts w:hint="default" w:ascii="Times New Roman" w:hAnsi="Times New Roman" w:eastAsia="仿宋_GB2312" w:cs="Times New Roman"/>
                <w:b w:val="0"/>
                <w:bCs w:val="0"/>
                <w:kern w:val="0"/>
                <w:sz w:val="21"/>
                <w:szCs w:val="21"/>
                <w:lang w:val="en-US" w:eastAsia="zh-CN"/>
              </w:rPr>
              <w:t>，堆土</w:t>
            </w:r>
            <w:r>
              <w:rPr>
                <w:rFonts w:hint="eastAsia" w:ascii="Times New Roman" w:hAnsi="Times New Roman" w:cs="Times New Roman"/>
                <w:b w:val="0"/>
                <w:bCs w:val="0"/>
                <w:kern w:val="0"/>
                <w:sz w:val="21"/>
                <w:szCs w:val="21"/>
                <w:lang w:val="en-US" w:eastAsia="zh-CN"/>
              </w:rPr>
              <w:t>临时</w:t>
            </w:r>
            <w:r>
              <w:rPr>
                <w:rFonts w:hint="default" w:ascii="Times New Roman" w:hAnsi="Times New Roman" w:eastAsia="仿宋_GB2312" w:cs="Times New Roman"/>
                <w:b w:val="0"/>
                <w:bCs w:val="0"/>
                <w:kern w:val="0"/>
                <w:sz w:val="21"/>
                <w:szCs w:val="21"/>
                <w:lang w:val="en-US" w:eastAsia="zh-CN"/>
              </w:rPr>
              <w:t>置于场地</w:t>
            </w:r>
            <w:r>
              <w:rPr>
                <w:rFonts w:hint="eastAsia" w:ascii="Times New Roman" w:hAnsi="Times New Roman" w:eastAsia="仿宋_GB2312" w:cs="Times New Roman"/>
                <w:b w:val="0"/>
                <w:bCs w:val="0"/>
                <w:kern w:val="0"/>
                <w:sz w:val="21"/>
                <w:szCs w:val="21"/>
                <w:lang w:val="en-US" w:eastAsia="zh-CN"/>
              </w:rPr>
              <w:t>一</w:t>
            </w:r>
            <w:r>
              <w:rPr>
                <w:rFonts w:hint="default" w:ascii="Times New Roman" w:hAnsi="Times New Roman" w:eastAsia="仿宋_GB2312" w:cs="Times New Roman"/>
                <w:b w:val="0"/>
                <w:bCs w:val="0"/>
                <w:kern w:val="0"/>
                <w:sz w:val="21"/>
                <w:szCs w:val="21"/>
                <w:lang w:val="en-US" w:eastAsia="zh-CN"/>
              </w:rPr>
              <w:t>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33" w:type="dxa"/>
            <w:tcBorders>
              <w:tl2br w:val="nil"/>
              <w:tr2bl w:val="nil"/>
            </w:tcBorders>
            <w:noWrap/>
            <w:vAlign w:val="center"/>
          </w:tcPr>
          <w:p>
            <w:pPr>
              <w:widowControl/>
              <w:bidi/>
              <w:spacing w:line="240" w:lineRule="auto"/>
              <w:ind w:firstLine="0" w:firstLineChars="0"/>
              <w:jc w:val="center"/>
              <w:rPr>
                <w:rFonts w:ascii="Times New Roman" w:hAnsi="Times New Roman" w:eastAsia="仿宋_GB2312" w:cs="Times New Roman"/>
                <w:b w:val="0"/>
                <w:bCs w:val="0"/>
                <w:kern w:val="0"/>
                <w:sz w:val="21"/>
                <w:szCs w:val="21"/>
                <w:lang w:val="en-US" w:eastAsia="zh-CN"/>
              </w:rPr>
            </w:pPr>
            <w:r>
              <w:rPr>
                <w:rFonts w:ascii="Times New Roman" w:hAnsi="Times New Roman" w:eastAsia="仿宋_GB2312" w:cs="Times New Roman"/>
                <w:b w:val="0"/>
                <w:bCs w:val="0"/>
                <w:kern w:val="0"/>
                <w:sz w:val="21"/>
                <w:szCs w:val="21"/>
                <w:lang w:val="en-US" w:eastAsia="zh-CN"/>
              </w:rPr>
              <w:t>施工道路区</w:t>
            </w:r>
          </w:p>
        </w:tc>
        <w:tc>
          <w:tcPr>
            <w:tcW w:w="1145"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0.28</w:t>
            </w:r>
          </w:p>
        </w:tc>
        <w:tc>
          <w:tcPr>
            <w:tcW w:w="5818"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ascii="Times New Roman" w:hAnsi="Times New Roman" w:eastAsia="仿宋_GB2312" w:cs="Times New Roman"/>
                <w:b w:val="0"/>
                <w:bCs w:val="0"/>
                <w:kern w:val="0"/>
                <w:sz w:val="21"/>
                <w:szCs w:val="21"/>
                <w:lang w:val="en-US" w:eastAsia="zh-CN"/>
              </w:rPr>
              <w:t>包括</w:t>
            </w:r>
            <w:r>
              <w:rPr>
                <w:rFonts w:hint="eastAsia" w:ascii="Times New Roman" w:hAnsi="Times New Roman" w:cs="Times New Roman"/>
                <w:b w:val="0"/>
                <w:bCs w:val="0"/>
                <w:kern w:val="0"/>
                <w:sz w:val="21"/>
                <w:szCs w:val="21"/>
                <w:lang w:val="en-US" w:eastAsia="zh-CN"/>
              </w:rPr>
              <w:t>新建临时</w:t>
            </w:r>
            <w:r>
              <w:rPr>
                <w:rFonts w:ascii="Times New Roman" w:hAnsi="Times New Roman" w:eastAsia="仿宋_GB2312" w:cs="Times New Roman"/>
                <w:b w:val="0"/>
                <w:bCs w:val="0"/>
                <w:kern w:val="0"/>
                <w:sz w:val="21"/>
                <w:szCs w:val="21"/>
                <w:lang w:val="en-US" w:eastAsia="zh-CN"/>
              </w:rPr>
              <w:t>施工道路，累计长1</w:t>
            </w:r>
            <w:r>
              <w:rPr>
                <w:rFonts w:hint="eastAsia" w:ascii="Times New Roman" w:hAnsi="Times New Roman" w:cs="Times New Roman"/>
                <w:b w:val="0"/>
                <w:bCs w:val="0"/>
                <w:kern w:val="0"/>
                <w:sz w:val="21"/>
                <w:szCs w:val="21"/>
                <w:lang w:val="en-US" w:eastAsia="zh-CN"/>
              </w:rPr>
              <w:t>400</w:t>
            </w:r>
            <w:r>
              <w:rPr>
                <w:rFonts w:ascii="Times New Roman" w:hAnsi="Times New Roman" w:eastAsia="仿宋_GB2312" w:cs="Times New Roman"/>
                <w:b w:val="0"/>
                <w:bCs w:val="0"/>
                <w:kern w:val="0"/>
                <w:sz w:val="21"/>
                <w:szCs w:val="21"/>
                <w:lang w:val="en-US" w:eastAsia="zh-CN"/>
              </w:rPr>
              <w:t>m，宽</w:t>
            </w:r>
            <w:r>
              <w:rPr>
                <w:rFonts w:hint="eastAsia" w:ascii="Times New Roman" w:hAnsi="Times New Roman" w:cs="Times New Roman"/>
                <w:b w:val="0"/>
                <w:bCs w:val="0"/>
                <w:kern w:val="0"/>
                <w:sz w:val="21"/>
                <w:szCs w:val="21"/>
                <w:lang w:val="en-US" w:eastAsia="zh-CN"/>
              </w:rPr>
              <w:t>2</w:t>
            </w:r>
            <w:r>
              <w:rPr>
                <w:rFonts w:ascii="Times New Roman" w:hAnsi="Times New Roman" w:eastAsia="仿宋_GB2312" w:cs="Times New Roman"/>
                <w:b w:val="0"/>
                <w:bCs w:val="0"/>
                <w:kern w:val="0"/>
                <w:sz w:val="21"/>
                <w:szCs w:val="21"/>
                <w:lang w:val="en-US" w:eastAsia="zh-CN"/>
              </w:rPr>
              <w:t>m</w:t>
            </w:r>
            <w:r>
              <w:rPr>
                <w:rFonts w:hint="default" w:ascii="Times New Roman" w:hAnsi="Times New Roman" w:eastAsia="仿宋_GB2312" w:cs="Times New Roman"/>
                <w:b w:val="0"/>
                <w:bCs w:val="0"/>
                <w:kern w:val="0"/>
                <w:sz w:val="21"/>
                <w:szCs w:val="21"/>
                <w:lang w:val="en-US" w:eastAsia="zh-CN"/>
              </w:rPr>
              <w:t>，</w:t>
            </w:r>
          </w:p>
          <w:p>
            <w:pPr>
              <w:widowControl/>
              <w:bidi/>
              <w:spacing w:line="240" w:lineRule="auto"/>
              <w:ind w:firstLine="0" w:firstLineChars="0"/>
              <w:jc w:val="center"/>
              <w:rPr>
                <w:rFonts w:ascii="Times New Roman" w:hAnsi="Times New Roman" w:eastAsia="仿宋_GB2312" w:cs="Times New Roman"/>
                <w:b w:val="0"/>
                <w:bCs w:val="0"/>
                <w:kern w:val="0"/>
                <w:sz w:val="21"/>
                <w:szCs w:val="21"/>
                <w:lang w:val="en-US" w:eastAsia="zh-CN"/>
              </w:rPr>
            </w:pPr>
            <w:r>
              <w:rPr>
                <w:rFonts w:ascii="Times New Roman" w:hAnsi="Times New Roman" w:eastAsia="仿宋_GB2312" w:cs="Times New Roman"/>
                <w:b w:val="0"/>
                <w:bCs w:val="0"/>
                <w:kern w:val="0"/>
                <w:sz w:val="21"/>
                <w:szCs w:val="21"/>
                <w:lang w:val="en-US" w:eastAsia="zh-CN"/>
              </w:rPr>
              <w:t>总占地面积0.</w:t>
            </w:r>
            <w:r>
              <w:rPr>
                <w:rFonts w:hint="eastAsia" w:ascii="Times New Roman" w:hAnsi="Times New Roman" w:cs="Times New Roman"/>
                <w:b w:val="0"/>
                <w:bCs w:val="0"/>
                <w:kern w:val="0"/>
                <w:sz w:val="21"/>
                <w:szCs w:val="21"/>
                <w:lang w:val="en-US" w:eastAsia="zh-CN"/>
              </w:rPr>
              <w:t>28</w:t>
            </w:r>
            <w:r>
              <w:rPr>
                <w:rFonts w:ascii="Times New Roman" w:hAnsi="Times New Roman" w:eastAsia="仿宋_GB2312" w:cs="Times New Roman"/>
                <w:b w:val="0"/>
                <w:bCs w:val="0"/>
                <w:kern w:val="0"/>
                <w:sz w:val="21"/>
                <w:szCs w:val="21"/>
                <w:lang w:val="en-US" w:eastAsia="zh-CN"/>
              </w:rPr>
              <w:t>hm</w:t>
            </w:r>
            <w:r>
              <w:rPr>
                <w:rFonts w:ascii="Times New Roman" w:hAnsi="Times New Roman" w:eastAsia="仿宋_GB2312" w:cs="Times New Roman"/>
                <w:b w:val="0"/>
                <w:bCs w:val="0"/>
                <w:kern w:val="0"/>
                <w:sz w:val="21"/>
                <w:szCs w:val="21"/>
                <w:vertAlign w:val="superscript"/>
                <w:lang w:val="en-US" w:eastAsia="zh-CN"/>
              </w:rPr>
              <w:t>2</w:t>
            </w:r>
            <w:r>
              <w:rPr>
                <w:rFonts w:ascii="Times New Roman" w:hAnsi="Times New Roman" w:eastAsia="仿宋_GB2312" w:cs="Times New Roman"/>
                <w:b w:val="0"/>
                <w:bCs w:val="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333"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牵张场区</w:t>
            </w:r>
          </w:p>
        </w:tc>
        <w:tc>
          <w:tcPr>
            <w:tcW w:w="1145"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0.75</w:t>
            </w:r>
          </w:p>
        </w:tc>
        <w:tc>
          <w:tcPr>
            <w:tcW w:w="5818" w:type="dxa"/>
            <w:tcBorders>
              <w:tl2br w:val="nil"/>
              <w:tr2bl w:val="nil"/>
            </w:tcBorders>
            <w:noWrap/>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包括3个牵张场，单个牵张场占地0.25hm</w:t>
            </w:r>
            <w:r>
              <w:rPr>
                <w:rFonts w:hint="eastAsia" w:ascii="Times New Roman" w:hAnsi="Times New Roman" w:cs="Times New Roman"/>
                <w:b w:val="0"/>
                <w:bCs w:val="0"/>
                <w:kern w:val="0"/>
                <w:sz w:val="21"/>
                <w:szCs w:val="21"/>
                <w:vertAlign w:val="superscript"/>
                <w:lang w:val="en-US" w:eastAsia="zh-CN"/>
              </w:rPr>
              <w:t>2</w:t>
            </w:r>
            <w:r>
              <w:rPr>
                <w:rFonts w:hint="eastAsia" w:ascii="Times New Roman" w:hAnsi="Times New Roman" w:eastAsia="仿宋_GB2312" w:cs="Times New Roman"/>
                <w:b w:val="0"/>
                <w:bCs w:val="0"/>
                <w:kern w:val="0"/>
                <w:sz w:val="21"/>
                <w:szCs w:val="21"/>
                <w:lang w:val="en-US" w:eastAsia="zh-CN"/>
              </w:rPr>
              <w:t>（</w:t>
            </w:r>
            <w:r>
              <w:rPr>
                <w:rFonts w:hint="eastAsia" w:ascii="Times New Roman" w:hAnsi="Times New Roman" w:cs="Times New Roman"/>
                <w:b w:val="0"/>
                <w:bCs w:val="0"/>
                <w:kern w:val="0"/>
                <w:sz w:val="21"/>
                <w:szCs w:val="21"/>
                <w:lang w:val="en-US" w:eastAsia="zh-CN"/>
              </w:rPr>
              <w:t>50</w:t>
            </w:r>
            <w:r>
              <w:rPr>
                <w:rFonts w:hint="eastAsia" w:ascii="Times New Roman" w:hAnsi="Times New Roman" w:eastAsia="仿宋_GB2312" w:cs="Times New Roman"/>
                <w:b w:val="0"/>
                <w:bCs w:val="0"/>
                <w:kern w:val="0"/>
                <w:sz w:val="21"/>
                <w:szCs w:val="21"/>
                <w:lang w:val="en-US" w:eastAsia="zh-CN"/>
              </w:rPr>
              <w:t>m*</w:t>
            </w:r>
            <w:r>
              <w:rPr>
                <w:rFonts w:hint="eastAsia" w:ascii="Times New Roman" w:hAnsi="Times New Roman" w:cs="Times New Roman"/>
                <w:b w:val="0"/>
                <w:bCs w:val="0"/>
                <w:kern w:val="0"/>
                <w:sz w:val="21"/>
                <w:szCs w:val="21"/>
                <w:lang w:val="en-US" w:eastAsia="zh-CN"/>
              </w:rPr>
              <w:t>50</w:t>
            </w:r>
            <w:r>
              <w:rPr>
                <w:rFonts w:hint="eastAsia" w:ascii="Times New Roman" w:hAnsi="Times New Roman" w:eastAsia="仿宋_GB2312" w:cs="Times New Roman"/>
                <w:b w:val="0"/>
                <w:bCs w:val="0"/>
                <w:kern w:val="0"/>
                <w:sz w:val="21"/>
                <w:szCs w:val="21"/>
                <w:lang w:val="en-US" w:eastAsia="zh-CN"/>
              </w:rPr>
              <w:t>m）</w:t>
            </w:r>
            <w:r>
              <w:rPr>
                <w:rFonts w:hint="eastAsia" w:ascii="Times New Roman" w:hAnsi="Times New Roman" w:cs="Times New Roman"/>
                <w:b w:val="0"/>
                <w:bCs w:val="0"/>
                <w:kern w:val="0"/>
                <w:sz w:val="21"/>
                <w:szCs w:val="21"/>
                <w:lang w:val="en-US" w:eastAsia="zh-CN"/>
              </w:rPr>
              <w:t>。</w:t>
            </w:r>
          </w:p>
        </w:tc>
      </w:tr>
    </w:tbl>
    <w:p>
      <w:pPr>
        <w:widowControl/>
        <w:bidi/>
        <w:spacing w:line="240" w:lineRule="auto"/>
        <w:ind w:firstLine="0" w:firstLineChars="0"/>
        <w:jc w:val="center"/>
        <w:rPr>
          <w:rFonts w:ascii="Times New Roman" w:hAnsi="Times New Roman" w:eastAsia="仿宋_GB2312" w:cs="Times New Roman"/>
          <w:b/>
          <w:bCs/>
          <w:kern w:val="0"/>
          <w:sz w:val="21"/>
          <w:szCs w:val="21"/>
          <w:lang w:val="en-US" w:eastAsia="zh-CN"/>
        </w:rPr>
      </w:pPr>
      <w:r>
        <w:rPr>
          <w:rFonts w:ascii="Times New Roman" w:hAnsi="Times New Roman" w:eastAsia="仿宋_GB2312" w:cs="Times New Roman"/>
          <w:b/>
          <w:bCs/>
          <w:kern w:val="0"/>
          <w:sz w:val="21"/>
          <w:szCs w:val="21"/>
          <w:lang w:val="en-US" w:eastAsia="zh-CN"/>
        </w:rPr>
        <w:t>表</w:t>
      </w:r>
      <w:r>
        <w:rPr>
          <w:rFonts w:hint="default" w:ascii="Times New Roman" w:hAnsi="Times New Roman" w:eastAsia="仿宋_GB2312" w:cs="Times New Roman"/>
          <w:b/>
          <w:bCs/>
          <w:kern w:val="0"/>
          <w:sz w:val="21"/>
          <w:szCs w:val="21"/>
          <w:lang w:val="en-US" w:eastAsia="zh-CN"/>
        </w:rPr>
        <w:t xml:space="preserve">2 </w:t>
      </w:r>
      <w:r>
        <w:rPr>
          <w:rFonts w:ascii="Times New Roman" w:hAnsi="Times New Roman" w:eastAsia="仿宋_GB2312" w:cs="Times New Roman"/>
          <w:b/>
          <w:bCs/>
          <w:kern w:val="0"/>
          <w:sz w:val="21"/>
          <w:szCs w:val="21"/>
          <w:lang w:val="en-US" w:eastAsia="zh-CN"/>
        </w:rPr>
        <w:t>工程扰动地表面积统计（hm</w:t>
      </w:r>
      <w:r>
        <w:rPr>
          <w:rFonts w:ascii="Times New Roman" w:hAnsi="Times New Roman" w:eastAsia="仿宋_GB2312" w:cs="Times New Roman"/>
          <w:b/>
          <w:bCs/>
          <w:kern w:val="0"/>
          <w:sz w:val="21"/>
          <w:szCs w:val="21"/>
          <w:vertAlign w:val="superscript"/>
          <w:lang w:val="en-US" w:eastAsia="zh-CN"/>
        </w:rPr>
        <w:t>2</w:t>
      </w:r>
      <w:r>
        <w:rPr>
          <w:rFonts w:ascii="Times New Roman" w:hAnsi="Times New Roman" w:eastAsia="仿宋_GB2312" w:cs="Times New Roman"/>
          <w:b/>
          <w:bCs/>
          <w:kern w:val="0"/>
          <w:sz w:val="21"/>
          <w:szCs w:val="21"/>
          <w:lang w:val="en-US" w:eastAsia="zh-CN"/>
        </w:rPr>
        <w:t>）</w:t>
      </w:r>
    </w:p>
    <w:tbl>
      <w:tblPr>
        <w:tblStyle w:val="16"/>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7"/>
        <w:gridCol w:w="1387"/>
        <w:gridCol w:w="1388"/>
        <w:gridCol w:w="1389"/>
        <w:gridCol w:w="1379"/>
        <w:gridCol w:w="1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7" w:type="dxa"/>
            <w:vAlign w:val="center"/>
          </w:tcPr>
          <w:p>
            <w:pPr>
              <w:widowControl/>
              <w:bidi/>
              <w:spacing w:line="240" w:lineRule="auto"/>
              <w:ind w:firstLine="0" w:firstLineChars="0"/>
              <w:jc w:val="center"/>
              <w:rPr>
                <w:rFonts w:ascii="Times New Roman" w:hAnsi="Times New Roman" w:eastAsia="仿宋_GB2312" w:cs="Times New Roman"/>
                <w:b/>
                <w:bCs/>
                <w:kern w:val="0"/>
                <w:sz w:val="21"/>
                <w:szCs w:val="21"/>
                <w:lang w:val="en-US" w:eastAsia="zh-CN"/>
              </w:rPr>
            </w:pPr>
            <w:r>
              <w:rPr>
                <w:rFonts w:ascii="Times New Roman" w:hAnsi="Times New Roman" w:eastAsia="仿宋_GB2312" w:cs="Times New Roman"/>
                <w:b/>
                <w:bCs/>
                <w:kern w:val="0"/>
                <w:sz w:val="21"/>
                <w:szCs w:val="21"/>
                <w:lang w:val="en-US" w:eastAsia="zh-CN"/>
              </w:rPr>
              <w:t>分区</w:t>
            </w:r>
          </w:p>
        </w:tc>
        <w:tc>
          <w:tcPr>
            <w:tcW w:w="1387" w:type="dxa"/>
            <w:vAlign w:val="center"/>
          </w:tcPr>
          <w:p>
            <w:pPr>
              <w:widowControl/>
              <w:bidi/>
              <w:spacing w:line="240" w:lineRule="auto"/>
              <w:ind w:firstLine="0" w:firstLineChars="0"/>
              <w:jc w:val="center"/>
              <w:rPr>
                <w:rFonts w:ascii="Times New Roman" w:hAnsi="Times New Roman" w:eastAsia="仿宋_GB2312" w:cs="Times New Roman"/>
                <w:b/>
                <w:bCs/>
                <w:kern w:val="0"/>
                <w:sz w:val="21"/>
                <w:szCs w:val="21"/>
                <w:lang w:val="en-US" w:eastAsia="zh-CN"/>
              </w:rPr>
            </w:pPr>
            <w:r>
              <w:rPr>
                <w:rFonts w:ascii="Times New Roman" w:hAnsi="Times New Roman" w:eastAsia="仿宋_GB2312" w:cs="Times New Roman"/>
                <w:b/>
                <w:bCs/>
                <w:kern w:val="0"/>
                <w:sz w:val="21"/>
                <w:szCs w:val="21"/>
                <w:lang w:val="en-US" w:eastAsia="zh-CN"/>
              </w:rPr>
              <w:t>永久占地</w:t>
            </w:r>
          </w:p>
        </w:tc>
        <w:tc>
          <w:tcPr>
            <w:tcW w:w="1388" w:type="dxa"/>
            <w:vAlign w:val="center"/>
          </w:tcPr>
          <w:p>
            <w:pPr>
              <w:widowControl/>
              <w:bidi/>
              <w:spacing w:line="240" w:lineRule="auto"/>
              <w:ind w:firstLine="0" w:firstLineChars="0"/>
              <w:jc w:val="center"/>
              <w:rPr>
                <w:rFonts w:ascii="Times New Roman" w:hAnsi="Times New Roman" w:eastAsia="仿宋_GB2312" w:cs="Times New Roman"/>
                <w:b/>
                <w:bCs/>
                <w:kern w:val="0"/>
                <w:sz w:val="21"/>
                <w:szCs w:val="21"/>
                <w:lang w:val="en-US" w:eastAsia="zh-CN"/>
              </w:rPr>
            </w:pPr>
            <w:r>
              <w:rPr>
                <w:rFonts w:ascii="Times New Roman" w:hAnsi="Times New Roman" w:eastAsia="仿宋_GB2312" w:cs="Times New Roman"/>
                <w:b/>
                <w:bCs/>
                <w:kern w:val="0"/>
                <w:sz w:val="21"/>
                <w:szCs w:val="21"/>
                <w:lang w:val="en-US" w:eastAsia="zh-CN"/>
              </w:rPr>
              <w:t>临时占地</w:t>
            </w:r>
          </w:p>
        </w:tc>
        <w:tc>
          <w:tcPr>
            <w:tcW w:w="1389" w:type="dxa"/>
            <w:vAlign w:val="center"/>
          </w:tcPr>
          <w:p>
            <w:pPr>
              <w:widowControl/>
              <w:bidi/>
              <w:spacing w:line="240" w:lineRule="auto"/>
              <w:ind w:firstLine="0" w:firstLineChars="0"/>
              <w:jc w:val="center"/>
              <w:rPr>
                <w:rFonts w:ascii="Times New Roman" w:hAnsi="Times New Roman" w:eastAsia="仿宋_GB2312" w:cs="Times New Roman"/>
                <w:b/>
                <w:bCs/>
                <w:kern w:val="0"/>
                <w:sz w:val="21"/>
                <w:szCs w:val="21"/>
                <w:lang w:val="en-US" w:eastAsia="zh-CN"/>
              </w:rPr>
            </w:pPr>
            <w:r>
              <w:rPr>
                <w:rFonts w:ascii="Times New Roman" w:hAnsi="Times New Roman" w:eastAsia="仿宋_GB2312" w:cs="Times New Roman"/>
                <w:b/>
                <w:bCs/>
                <w:kern w:val="0"/>
                <w:sz w:val="21"/>
                <w:szCs w:val="21"/>
                <w:lang w:val="en-US" w:eastAsia="zh-CN"/>
              </w:rPr>
              <w:t>合计</w:t>
            </w:r>
          </w:p>
        </w:tc>
        <w:tc>
          <w:tcPr>
            <w:tcW w:w="1379" w:type="dxa"/>
            <w:vAlign w:val="center"/>
          </w:tcPr>
          <w:p>
            <w:pPr>
              <w:widowControl/>
              <w:bidi/>
              <w:spacing w:line="240" w:lineRule="auto"/>
              <w:ind w:firstLine="0" w:firstLineChars="0"/>
              <w:jc w:val="center"/>
              <w:rPr>
                <w:rFonts w:hint="eastAsia" w:ascii="Times New Roman" w:hAnsi="Times New Roman" w:eastAsia="仿宋_GB2312" w:cs="Times New Roman"/>
                <w:b/>
                <w:bCs/>
                <w:kern w:val="0"/>
                <w:sz w:val="21"/>
                <w:szCs w:val="21"/>
                <w:lang w:val="en-US" w:eastAsia="zh-CN"/>
              </w:rPr>
            </w:pPr>
            <w:r>
              <w:rPr>
                <w:rFonts w:hint="eastAsia" w:ascii="Times New Roman" w:hAnsi="Times New Roman" w:eastAsia="仿宋_GB2312" w:cs="Times New Roman"/>
                <w:b/>
                <w:bCs/>
                <w:kern w:val="0"/>
                <w:sz w:val="21"/>
                <w:szCs w:val="21"/>
                <w:lang w:val="en-US" w:eastAsia="zh-CN"/>
              </w:rPr>
              <w:t>耕地</w:t>
            </w:r>
          </w:p>
        </w:tc>
        <w:tc>
          <w:tcPr>
            <w:tcW w:w="1366" w:type="dxa"/>
            <w:vAlign w:val="center"/>
          </w:tcPr>
          <w:p>
            <w:pPr>
              <w:widowControl/>
              <w:bidi/>
              <w:spacing w:line="240" w:lineRule="auto"/>
              <w:ind w:firstLine="0" w:firstLineChars="0"/>
              <w:jc w:val="center"/>
              <w:rPr>
                <w:rFonts w:hint="eastAsia" w:ascii="Times New Roman" w:hAnsi="Times New Roman" w:eastAsia="仿宋_GB2312" w:cs="Times New Roman"/>
                <w:b/>
                <w:bCs/>
                <w:kern w:val="0"/>
                <w:sz w:val="21"/>
                <w:szCs w:val="21"/>
                <w:lang w:val="en-US" w:eastAsia="zh-CN"/>
              </w:rPr>
            </w:pPr>
            <w:r>
              <w:rPr>
                <w:rFonts w:hint="eastAsia" w:ascii="Times New Roman" w:hAnsi="Times New Roman" w:eastAsia="仿宋_GB2312" w:cs="Times New Roman"/>
                <w:b/>
                <w:bCs/>
                <w:kern w:val="0"/>
                <w:sz w:val="21"/>
                <w:szCs w:val="21"/>
                <w:lang w:val="en-US" w:eastAsia="zh-CN"/>
              </w:rPr>
              <w:t>其他农用地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7" w:type="dxa"/>
            <w:vAlign w:val="center"/>
          </w:tcPr>
          <w:p>
            <w:pPr>
              <w:widowControl/>
              <w:bidi/>
              <w:spacing w:line="240" w:lineRule="auto"/>
              <w:ind w:firstLine="0" w:firstLineChars="0"/>
              <w:jc w:val="center"/>
              <w:rPr>
                <w:rFonts w:ascii="Times New Roman" w:hAnsi="Times New Roman" w:eastAsia="仿宋_GB2312" w:cs="Times New Roman"/>
                <w:b/>
                <w:bCs/>
                <w:kern w:val="0"/>
                <w:sz w:val="21"/>
                <w:szCs w:val="21"/>
                <w:lang w:val="en-US" w:eastAsia="zh-CN"/>
              </w:rPr>
            </w:pPr>
            <w:r>
              <w:rPr>
                <w:rFonts w:hint="eastAsia" w:ascii="Times New Roman" w:hAnsi="Times New Roman" w:cs="Times New Roman"/>
                <w:b/>
                <w:bCs/>
                <w:kern w:val="0"/>
                <w:sz w:val="21"/>
                <w:szCs w:val="21"/>
                <w:lang w:val="en-US" w:eastAsia="zh-CN"/>
              </w:rPr>
              <w:t>集电线路</w:t>
            </w:r>
            <w:r>
              <w:rPr>
                <w:rFonts w:ascii="Times New Roman" w:hAnsi="Times New Roman" w:eastAsia="仿宋_GB2312" w:cs="Times New Roman"/>
                <w:b/>
                <w:bCs/>
                <w:kern w:val="0"/>
                <w:sz w:val="21"/>
                <w:szCs w:val="21"/>
                <w:lang w:val="en-US" w:eastAsia="zh-CN"/>
              </w:rPr>
              <w:t>区</w:t>
            </w:r>
          </w:p>
        </w:tc>
        <w:tc>
          <w:tcPr>
            <w:tcW w:w="1387"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w:t>
            </w:r>
            <w:r>
              <w:rPr>
                <w:rFonts w:hint="eastAsia" w:cs="Times New Roman"/>
                <w:b w:val="0"/>
                <w:bCs w:val="0"/>
                <w:kern w:val="0"/>
                <w:sz w:val="21"/>
                <w:szCs w:val="21"/>
                <w:lang w:val="en-US" w:eastAsia="zh-CN"/>
              </w:rPr>
              <w:t>14</w:t>
            </w:r>
          </w:p>
        </w:tc>
        <w:tc>
          <w:tcPr>
            <w:tcW w:w="1388"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1.</w:t>
            </w:r>
            <w:r>
              <w:rPr>
                <w:rFonts w:hint="eastAsia" w:cs="Times New Roman"/>
                <w:b w:val="0"/>
                <w:bCs w:val="0"/>
                <w:kern w:val="0"/>
                <w:sz w:val="21"/>
                <w:szCs w:val="21"/>
                <w:lang w:val="en-US" w:eastAsia="zh-CN"/>
              </w:rPr>
              <w:t>71</w:t>
            </w:r>
          </w:p>
        </w:tc>
        <w:tc>
          <w:tcPr>
            <w:tcW w:w="1389"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1.85</w:t>
            </w:r>
          </w:p>
        </w:tc>
        <w:tc>
          <w:tcPr>
            <w:tcW w:w="1379"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1.78</w:t>
            </w:r>
          </w:p>
        </w:tc>
        <w:tc>
          <w:tcPr>
            <w:tcW w:w="1366"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7" w:type="dxa"/>
            <w:vAlign w:val="center"/>
          </w:tcPr>
          <w:p>
            <w:pPr>
              <w:widowControl/>
              <w:bidi/>
              <w:spacing w:line="240" w:lineRule="auto"/>
              <w:ind w:firstLine="0" w:firstLineChars="0"/>
              <w:jc w:val="center"/>
              <w:rPr>
                <w:rFonts w:ascii="Times New Roman" w:hAnsi="Times New Roman" w:eastAsia="仿宋_GB2312" w:cs="Times New Roman"/>
                <w:b/>
                <w:bCs/>
                <w:kern w:val="0"/>
                <w:sz w:val="21"/>
                <w:szCs w:val="21"/>
                <w:lang w:val="en-US" w:eastAsia="zh-CN"/>
              </w:rPr>
            </w:pPr>
            <w:r>
              <w:rPr>
                <w:rFonts w:hint="eastAsia" w:ascii="Times New Roman" w:hAnsi="Times New Roman" w:cs="Times New Roman"/>
                <w:b/>
                <w:bCs/>
                <w:kern w:val="0"/>
                <w:sz w:val="21"/>
                <w:szCs w:val="21"/>
                <w:lang w:val="en-US" w:eastAsia="zh-CN"/>
              </w:rPr>
              <w:t>施工道路</w:t>
            </w:r>
            <w:r>
              <w:rPr>
                <w:rFonts w:ascii="Times New Roman" w:hAnsi="Times New Roman" w:eastAsia="仿宋_GB2312" w:cs="Times New Roman"/>
                <w:b/>
                <w:bCs/>
                <w:kern w:val="0"/>
                <w:sz w:val="21"/>
                <w:szCs w:val="21"/>
                <w:lang w:val="en-US" w:eastAsia="zh-CN"/>
              </w:rPr>
              <w:t>区</w:t>
            </w:r>
          </w:p>
        </w:tc>
        <w:tc>
          <w:tcPr>
            <w:tcW w:w="1387" w:type="dxa"/>
            <w:vAlign w:val="center"/>
          </w:tcPr>
          <w:p>
            <w:pPr>
              <w:widowControl/>
              <w:bidi/>
              <w:spacing w:line="240" w:lineRule="auto"/>
              <w:ind w:firstLine="0" w:firstLineChars="0"/>
              <w:jc w:val="center"/>
              <w:rPr>
                <w:rFonts w:hint="eastAsia" w:ascii="Times New Roman" w:hAnsi="Times New Roman" w:eastAsia="仿宋_GB2312" w:cs="Times New Roman"/>
                <w:b w:val="0"/>
                <w:bCs w:val="0"/>
                <w:kern w:val="0"/>
                <w:sz w:val="21"/>
                <w:szCs w:val="21"/>
                <w:lang w:val="en-US" w:eastAsia="zh-CN"/>
              </w:rPr>
            </w:pPr>
          </w:p>
        </w:tc>
        <w:tc>
          <w:tcPr>
            <w:tcW w:w="1388"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0.28</w:t>
            </w:r>
          </w:p>
        </w:tc>
        <w:tc>
          <w:tcPr>
            <w:tcW w:w="1389"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0.28</w:t>
            </w:r>
          </w:p>
        </w:tc>
        <w:tc>
          <w:tcPr>
            <w:tcW w:w="1379"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0.28</w:t>
            </w:r>
          </w:p>
        </w:tc>
        <w:tc>
          <w:tcPr>
            <w:tcW w:w="1366"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7" w:type="dxa"/>
            <w:vAlign w:val="center"/>
          </w:tcPr>
          <w:p>
            <w:pPr>
              <w:widowControl/>
              <w:bidi/>
              <w:spacing w:line="240" w:lineRule="auto"/>
              <w:ind w:firstLine="0" w:firstLineChars="0"/>
              <w:jc w:val="center"/>
              <w:rPr>
                <w:rFonts w:ascii="Times New Roman" w:hAnsi="Times New Roman" w:eastAsia="仿宋_GB2312" w:cs="Times New Roman"/>
                <w:b/>
                <w:bCs/>
                <w:kern w:val="0"/>
                <w:sz w:val="21"/>
                <w:szCs w:val="21"/>
                <w:lang w:val="en-US" w:eastAsia="zh-CN"/>
              </w:rPr>
            </w:pPr>
            <w:r>
              <w:rPr>
                <w:rFonts w:hint="eastAsia" w:ascii="Times New Roman" w:hAnsi="Times New Roman" w:cs="Times New Roman"/>
                <w:b/>
                <w:bCs/>
                <w:kern w:val="0"/>
                <w:sz w:val="21"/>
                <w:szCs w:val="21"/>
                <w:lang w:val="en-US" w:eastAsia="zh-CN"/>
              </w:rPr>
              <w:t>牵张场</w:t>
            </w:r>
            <w:r>
              <w:rPr>
                <w:rFonts w:ascii="Times New Roman" w:hAnsi="Times New Roman" w:eastAsia="仿宋_GB2312" w:cs="Times New Roman"/>
                <w:b/>
                <w:bCs/>
                <w:kern w:val="0"/>
                <w:sz w:val="21"/>
                <w:szCs w:val="21"/>
                <w:lang w:val="en-US" w:eastAsia="zh-CN"/>
              </w:rPr>
              <w:t>区</w:t>
            </w:r>
          </w:p>
        </w:tc>
        <w:tc>
          <w:tcPr>
            <w:tcW w:w="1387" w:type="dxa"/>
            <w:vAlign w:val="center"/>
          </w:tcPr>
          <w:p>
            <w:pPr>
              <w:widowControl/>
              <w:bidi/>
              <w:spacing w:line="240" w:lineRule="auto"/>
              <w:ind w:firstLine="0" w:firstLineChars="0"/>
              <w:jc w:val="center"/>
              <w:rPr>
                <w:rFonts w:ascii="Times New Roman" w:hAnsi="Times New Roman" w:eastAsia="仿宋_GB2312" w:cs="Times New Roman"/>
                <w:b w:val="0"/>
                <w:bCs w:val="0"/>
                <w:kern w:val="0"/>
                <w:sz w:val="21"/>
                <w:szCs w:val="21"/>
                <w:lang w:val="en-US" w:eastAsia="zh-CN"/>
              </w:rPr>
            </w:pPr>
          </w:p>
        </w:tc>
        <w:tc>
          <w:tcPr>
            <w:tcW w:w="1388"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0.75</w:t>
            </w:r>
          </w:p>
        </w:tc>
        <w:tc>
          <w:tcPr>
            <w:tcW w:w="1389"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0.75</w:t>
            </w:r>
          </w:p>
        </w:tc>
        <w:tc>
          <w:tcPr>
            <w:tcW w:w="1379"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0.71</w:t>
            </w:r>
          </w:p>
        </w:tc>
        <w:tc>
          <w:tcPr>
            <w:tcW w:w="1366"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87" w:type="dxa"/>
            <w:vAlign w:val="center"/>
          </w:tcPr>
          <w:p>
            <w:pPr>
              <w:widowControl/>
              <w:bidi/>
              <w:spacing w:line="240" w:lineRule="auto"/>
              <w:ind w:firstLine="0" w:firstLineChars="0"/>
              <w:jc w:val="center"/>
              <w:rPr>
                <w:rFonts w:ascii="Times New Roman" w:hAnsi="Times New Roman" w:eastAsia="仿宋_GB2312" w:cs="Times New Roman"/>
                <w:b/>
                <w:bCs/>
                <w:kern w:val="0"/>
                <w:sz w:val="21"/>
                <w:szCs w:val="21"/>
                <w:lang w:val="en-US" w:eastAsia="zh-CN"/>
              </w:rPr>
            </w:pPr>
            <w:r>
              <w:rPr>
                <w:rFonts w:ascii="Times New Roman" w:hAnsi="Times New Roman" w:eastAsia="仿宋_GB2312" w:cs="Times New Roman"/>
                <w:b/>
                <w:bCs/>
                <w:kern w:val="0"/>
                <w:sz w:val="21"/>
                <w:szCs w:val="21"/>
                <w:lang w:val="en-US" w:eastAsia="zh-CN"/>
              </w:rPr>
              <w:t>合计</w:t>
            </w:r>
          </w:p>
        </w:tc>
        <w:tc>
          <w:tcPr>
            <w:tcW w:w="1387"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w:t>
            </w:r>
            <w:r>
              <w:rPr>
                <w:rFonts w:hint="eastAsia" w:cs="Times New Roman"/>
                <w:b w:val="0"/>
                <w:bCs w:val="0"/>
                <w:kern w:val="0"/>
                <w:sz w:val="21"/>
                <w:szCs w:val="21"/>
                <w:lang w:val="en-US" w:eastAsia="zh-CN"/>
              </w:rPr>
              <w:t>14</w:t>
            </w:r>
          </w:p>
        </w:tc>
        <w:tc>
          <w:tcPr>
            <w:tcW w:w="1388"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2.</w:t>
            </w:r>
            <w:r>
              <w:rPr>
                <w:rFonts w:hint="eastAsia" w:cs="Times New Roman"/>
                <w:b w:val="0"/>
                <w:bCs w:val="0"/>
                <w:kern w:val="0"/>
                <w:sz w:val="21"/>
                <w:szCs w:val="21"/>
                <w:lang w:val="en-US" w:eastAsia="zh-CN"/>
              </w:rPr>
              <w:t>74</w:t>
            </w:r>
          </w:p>
        </w:tc>
        <w:tc>
          <w:tcPr>
            <w:tcW w:w="1389"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2.88</w:t>
            </w:r>
          </w:p>
        </w:tc>
        <w:tc>
          <w:tcPr>
            <w:tcW w:w="1379"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2.77</w:t>
            </w:r>
          </w:p>
        </w:tc>
        <w:tc>
          <w:tcPr>
            <w:tcW w:w="1366" w:type="dxa"/>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0.11</w:t>
            </w:r>
          </w:p>
        </w:tc>
      </w:tr>
    </w:tbl>
    <w:p>
      <w:pPr>
        <w:pStyle w:val="13"/>
        <w:widowControl/>
        <w:numPr>
          <w:ilvl w:val="0"/>
          <w:numId w:val="0"/>
        </w:numPr>
        <w:spacing w:line="360" w:lineRule="auto"/>
        <w:ind w:firstLine="482" w:firstLineChars="200"/>
        <w:rPr>
          <w:rFonts w:hint="default"/>
          <w:lang w:val="en-US" w:eastAsia="zh-CN"/>
        </w:rPr>
      </w:pPr>
      <w:r>
        <w:rPr>
          <w:rFonts w:hint="eastAsia" w:eastAsia="仿宋_GB2312"/>
          <w:b/>
          <w:bCs/>
          <w:szCs w:val="22"/>
          <w:lang w:val="en-US" w:eastAsia="zh-CN"/>
        </w:rPr>
        <w:t>项目土石方：</w:t>
      </w:r>
      <w:r>
        <w:rPr>
          <w:rFonts w:hint="eastAsia" w:ascii="Times New Roman" w:hAnsi="Times New Roman" w:eastAsia="仿宋_GB2312" w:cstheme="minorBidi"/>
          <w:kern w:val="2"/>
          <w:sz w:val="24"/>
          <w:szCs w:val="22"/>
          <w:lang w:val="en-US" w:eastAsia="zh-CN" w:bidi="ar-SA"/>
        </w:rPr>
        <w:t>项目开挖土方1.07万m</w:t>
      </w:r>
      <w:r>
        <w:rPr>
          <w:rFonts w:hint="eastAsia" w:ascii="Times New Roman" w:hAnsi="Times New Roman" w:eastAsia="仿宋_GB2312" w:cstheme="minorBidi"/>
          <w:kern w:val="2"/>
          <w:sz w:val="24"/>
          <w:szCs w:val="22"/>
          <w:vertAlign w:val="superscript"/>
          <w:lang w:val="en-US" w:eastAsia="zh-CN" w:bidi="ar-SA"/>
        </w:rPr>
        <w:t>3</w:t>
      </w:r>
      <w:r>
        <w:rPr>
          <w:rFonts w:hint="eastAsia" w:ascii="Times New Roman" w:hAnsi="Times New Roman" w:eastAsia="仿宋_GB2312" w:cstheme="minorBidi"/>
          <w:kern w:val="2"/>
          <w:sz w:val="24"/>
          <w:szCs w:val="22"/>
          <w:lang w:val="en-US" w:eastAsia="zh-CN" w:bidi="ar-SA"/>
        </w:rPr>
        <w:t>，回填1.07万m</w:t>
      </w:r>
      <w:r>
        <w:rPr>
          <w:rFonts w:hint="eastAsia" w:ascii="Times New Roman" w:hAnsi="Times New Roman" w:eastAsia="仿宋_GB2312" w:cstheme="minorBidi"/>
          <w:kern w:val="2"/>
          <w:sz w:val="24"/>
          <w:szCs w:val="22"/>
          <w:vertAlign w:val="superscript"/>
          <w:lang w:val="en-US" w:eastAsia="zh-CN" w:bidi="ar-SA"/>
        </w:rPr>
        <w:t>3</w:t>
      </w:r>
    </w:p>
    <w:p>
      <w:pPr>
        <w:pStyle w:val="13"/>
        <w:widowControl/>
        <w:numPr>
          <w:ilvl w:val="0"/>
          <w:numId w:val="3"/>
        </w:numPr>
        <w:spacing w:line="360" w:lineRule="auto"/>
        <w:ind w:firstLine="480" w:firstLineChars="200"/>
        <w:rPr>
          <w:rFonts w:hint="eastAsia" w:eastAsia="仿宋_GB2312"/>
          <w:szCs w:val="22"/>
          <w:lang w:val="en-US" w:eastAsia="zh-CN"/>
        </w:rPr>
      </w:pPr>
      <w:r>
        <w:rPr>
          <w:rFonts w:hint="eastAsia" w:eastAsia="仿宋_GB2312"/>
          <w:szCs w:val="22"/>
          <w:lang w:val="en-US" w:eastAsia="zh-CN"/>
        </w:rPr>
        <w:t>项目土石方</w:t>
      </w:r>
    </w:p>
    <w:p>
      <w:pPr>
        <w:pStyle w:val="13"/>
        <w:widowControl/>
        <w:numPr>
          <w:ilvl w:val="0"/>
          <w:numId w:val="0"/>
        </w:numPr>
        <w:spacing w:line="360" w:lineRule="auto"/>
        <w:ind w:firstLine="480" w:firstLineChars="200"/>
        <w:rPr>
          <w:rFonts w:hint="default" w:eastAsia="仿宋_GB2312"/>
          <w:szCs w:val="22"/>
          <w:lang w:val="en-US" w:eastAsia="zh-CN"/>
        </w:rPr>
      </w:pPr>
      <w:r>
        <w:rPr>
          <w:rFonts w:hint="eastAsia" w:eastAsia="仿宋_GB2312"/>
          <w:szCs w:val="22"/>
          <w:lang w:eastAsia="zh-CN"/>
        </w:rPr>
        <w:t>（</w:t>
      </w:r>
      <w:r>
        <w:rPr>
          <w:rFonts w:hint="eastAsia" w:eastAsia="仿宋_GB2312"/>
          <w:szCs w:val="22"/>
          <w:lang w:val="en-US" w:eastAsia="zh-CN"/>
        </w:rPr>
        <w:t>1</w:t>
      </w:r>
      <w:r>
        <w:rPr>
          <w:rFonts w:hint="eastAsia" w:eastAsia="仿宋_GB2312"/>
          <w:szCs w:val="22"/>
          <w:lang w:eastAsia="zh-CN"/>
        </w:rPr>
        <w:t>）</w:t>
      </w:r>
      <w:r>
        <w:rPr>
          <w:rFonts w:hint="eastAsia" w:eastAsia="仿宋_GB2312"/>
          <w:szCs w:val="22"/>
          <w:lang w:val="en-US" w:eastAsia="zh-CN"/>
        </w:rPr>
        <w:t>集电线路区</w:t>
      </w:r>
    </w:p>
    <w:p>
      <w:pPr>
        <w:spacing w:line="360" w:lineRule="auto"/>
        <w:ind w:firstLine="480" w:firstLineChars="200"/>
        <w:rPr>
          <w:rFonts w:hint="eastAsia" w:ascii="Times New Roman" w:hAnsi="Times New Roman" w:eastAsia="仿宋_GB2312" w:cs="Times New Roman"/>
          <w:szCs w:val="22"/>
          <w:lang w:val="en-US" w:eastAsia="zh-CN"/>
        </w:rPr>
      </w:pPr>
      <w:r>
        <w:rPr>
          <w:rFonts w:hint="eastAsia" w:eastAsia="仿宋_GB2312"/>
          <w:szCs w:val="22"/>
          <w:lang w:val="en-US" w:eastAsia="zh-CN"/>
        </w:rPr>
        <w:t>集电线路中架空段塔基单个挖方量为250m</w:t>
      </w:r>
      <w:r>
        <w:rPr>
          <w:rFonts w:hint="eastAsia" w:eastAsia="仿宋_GB2312"/>
          <w:szCs w:val="22"/>
          <w:vertAlign w:val="superscript"/>
          <w:lang w:val="en-US" w:eastAsia="zh-CN"/>
        </w:rPr>
        <w:t>2</w:t>
      </w:r>
      <w:r>
        <w:rPr>
          <w:rFonts w:hint="eastAsia" w:eastAsia="仿宋_GB2312"/>
          <w:szCs w:val="22"/>
          <w:lang w:val="en-US" w:eastAsia="zh-CN"/>
        </w:rPr>
        <w:t>，项目</w:t>
      </w:r>
      <w:r>
        <w:rPr>
          <w:rFonts w:hint="eastAsia" w:ascii="Times New Roman" w:hAnsi="Times New Roman" w:eastAsia="仿宋_GB2312" w:cs="Times New Roman"/>
          <w:szCs w:val="22"/>
          <w:lang w:val="en-US" w:eastAsia="zh-CN"/>
        </w:rPr>
        <w:t>共19座耐张塔基、21座直线塔，共开挖土石方量1万m</w:t>
      </w:r>
      <w:r>
        <w:rPr>
          <w:rFonts w:hint="eastAsia" w:ascii="Times New Roman" w:hAnsi="Times New Roman" w:eastAsia="仿宋_GB2312" w:cs="Times New Roman"/>
          <w:szCs w:val="22"/>
          <w:vertAlign w:val="superscript"/>
          <w:lang w:val="en-US" w:eastAsia="zh-CN"/>
        </w:rPr>
        <w:t>3</w:t>
      </w:r>
      <w:r>
        <w:rPr>
          <w:rFonts w:hint="eastAsia" w:ascii="Times New Roman" w:hAnsi="Times New Roman" w:eastAsia="仿宋_GB2312" w:cs="Times New Roman"/>
          <w:szCs w:val="22"/>
          <w:lang w:val="en-US" w:eastAsia="zh-CN"/>
        </w:rPr>
        <w:t>，架空段挖方量1万m</w:t>
      </w:r>
      <w:r>
        <w:rPr>
          <w:rFonts w:hint="eastAsia" w:ascii="Times New Roman" w:hAnsi="Times New Roman" w:eastAsia="仿宋_GB2312" w:cs="Times New Roman"/>
          <w:szCs w:val="22"/>
          <w:vertAlign w:val="superscript"/>
          <w:lang w:val="en-US" w:eastAsia="zh-CN"/>
        </w:rPr>
        <w:t>3</w:t>
      </w:r>
      <w:r>
        <w:rPr>
          <w:rFonts w:hint="eastAsia" w:ascii="Times New Roman" w:hAnsi="Times New Roman" w:eastAsia="仿宋_GB2312" w:cs="Times New Roman"/>
          <w:szCs w:val="22"/>
          <w:lang w:val="en-US" w:eastAsia="zh-CN"/>
        </w:rPr>
        <w:t>。地埋电缆长度0.45km，开挖断面2米，开挖深度1米，共挖方量0.07万m</w:t>
      </w:r>
      <w:r>
        <w:rPr>
          <w:rFonts w:hint="eastAsia" w:ascii="Times New Roman" w:hAnsi="Times New Roman" w:eastAsia="仿宋_GB2312" w:cs="Times New Roman"/>
          <w:szCs w:val="22"/>
          <w:vertAlign w:val="superscript"/>
          <w:lang w:val="en-US" w:eastAsia="zh-CN"/>
        </w:rPr>
        <w:t>3</w:t>
      </w:r>
      <w:r>
        <w:rPr>
          <w:rFonts w:hint="eastAsia" w:ascii="Times New Roman" w:hAnsi="Times New Roman" w:eastAsia="仿宋_GB2312" w:cs="Times New Roman"/>
          <w:szCs w:val="22"/>
          <w:lang w:val="en-US" w:eastAsia="zh-CN"/>
        </w:rPr>
        <w:t>。</w:t>
      </w:r>
    </w:p>
    <w:p>
      <w:pPr>
        <w:pStyle w:val="9"/>
        <w:rPr>
          <w:rFonts w:hint="default"/>
          <w:lang w:val="en-US" w:eastAsia="zh-CN"/>
        </w:rPr>
      </w:pPr>
      <w:r>
        <w:rPr>
          <w:rFonts w:hint="eastAsia" w:ascii="Times New Roman" w:hAnsi="Times New Roman" w:cs="Times New Roman"/>
          <w:szCs w:val="22"/>
          <w:lang w:val="en-US" w:eastAsia="zh-CN"/>
        </w:rPr>
        <w:t>集电线路共开挖土方1.07万</w:t>
      </w:r>
      <w:r>
        <w:rPr>
          <w:rFonts w:hint="eastAsia" w:ascii="Times New Roman" w:hAnsi="Times New Roman" w:eastAsia="仿宋_GB2312" w:cs="Times New Roman"/>
          <w:szCs w:val="22"/>
          <w:lang w:val="en-US" w:eastAsia="zh-CN"/>
        </w:rPr>
        <w:t>m</w:t>
      </w:r>
      <w:r>
        <w:rPr>
          <w:rFonts w:hint="eastAsia" w:ascii="Times New Roman" w:hAnsi="Times New Roman" w:eastAsia="仿宋_GB2312" w:cs="Times New Roman"/>
          <w:szCs w:val="22"/>
          <w:vertAlign w:val="superscript"/>
          <w:lang w:val="en-US" w:eastAsia="zh-CN"/>
        </w:rPr>
        <w:t>3</w:t>
      </w:r>
      <w:r>
        <w:rPr>
          <w:rFonts w:hint="eastAsia" w:ascii="Times New Roman" w:hAnsi="Times New Roman" w:cs="Times New Roman"/>
          <w:szCs w:val="22"/>
          <w:lang w:val="en-US" w:eastAsia="zh-CN"/>
        </w:rPr>
        <w:t>，回填1.07万</w:t>
      </w:r>
      <w:r>
        <w:rPr>
          <w:rFonts w:hint="eastAsia" w:ascii="Times New Roman" w:hAnsi="Times New Roman" w:eastAsia="仿宋_GB2312" w:cs="Times New Roman"/>
          <w:szCs w:val="22"/>
          <w:lang w:val="en-US" w:eastAsia="zh-CN"/>
        </w:rPr>
        <w:t>m</w:t>
      </w:r>
      <w:r>
        <w:rPr>
          <w:rFonts w:hint="eastAsia" w:ascii="Times New Roman" w:hAnsi="Times New Roman" w:eastAsia="仿宋_GB2312" w:cs="Times New Roman"/>
          <w:szCs w:val="22"/>
          <w:vertAlign w:val="superscript"/>
          <w:lang w:val="en-US" w:eastAsia="zh-CN"/>
        </w:rPr>
        <w:t>3</w:t>
      </w:r>
      <w:r>
        <w:rPr>
          <w:rFonts w:hint="eastAsia" w:ascii="Times New Roman" w:hAnsi="Times New Roman" w:cs="Times New Roman"/>
          <w:szCs w:val="22"/>
          <w:vertAlign w:val="baseline"/>
          <w:lang w:val="en-US" w:eastAsia="zh-CN"/>
        </w:rPr>
        <w:t>。</w:t>
      </w:r>
    </w:p>
    <w:p>
      <w:pPr>
        <w:pStyle w:val="9"/>
        <w:numPr>
          <w:ilvl w:val="0"/>
          <w:numId w:val="4"/>
        </w:numPr>
        <w:rPr>
          <w:rFonts w:hint="eastAsia" w:ascii="Times New Roman" w:hAnsi="Times New Roman" w:cs="Times New Roman"/>
          <w:szCs w:val="22"/>
          <w:lang w:val="en-US" w:eastAsia="zh-CN"/>
        </w:rPr>
      </w:pPr>
      <w:r>
        <w:rPr>
          <w:rFonts w:hint="eastAsia" w:ascii="Times New Roman" w:hAnsi="Times New Roman" w:cs="Times New Roman"/>
          <w:szCs w:val="22"/>
          <w:lang w:val="en-US" w:eastAsia="zh-CN"/>
        </w:rPr>
        <w:t>施工道路区及牵张场区</w:t>
      </w:r>
    </w:p>
    <w:p>
      <w:pPr>
        <w:pStyle w:val="9"/>
        <w:numPr>
          <w:ilvl w:val="0"/>
          <w:numId w:val="0"/>
        </w:numPr>
        <w:ind w:firstLine="480" w:firstLineChars="200"/>
        <w:rPr>
          <w:rFonts w:hint="default" w:ascii="Times New Roman" w:hAnsi="Times New Roman" w:cs="Times New Roman"/>
          <w:szCs w:val="22"/>
          <w:lang w:val="en-US" w:eastAsia="zh-CN"/>
        </w:rPr>
      </w:pPr>
      <w:r>
        <w:rPr>
          <w:rFonts w:hint="eastAsia" w:ascii="Times New Roman" w:hAnsi="Times New Roman" w:cs="Times New Roman"/>
          <w:szCs w:val="22"/>
          <w:lang w:val="en-US" w:eastAsia="zh-CN"/>
        </w:rPr>
        <w:t>施工道路、牵张场主要占地为耕地，施工时未开挖土方，不涉及取土、弃土场地，无余方及弃方。</w:t>
      </w:r>
    </w:p>
    <w:p>
      <w:pPr>
        <w:spacing w:line="240" w:lineRule="auto"/>
        <w:ind w:firstLine="0" w:firstLineChars="0"/>
        <w:jc w:val="center"/>
        <w:rPr>
          <w:rFonts w:ascii="Times New Roman" w:hAnsi="Times New Roman" w:eastAsia="仿宋_GB2312" w:cs="Times New Roman"/>
          <w:b/>
          <w:bCs/>
          <w:color w:val="000000" w:themeColor="text1"/>
          <w:kern w:val="28"/>
          <w:sz w:val="21"/>
          <w:szCs w:val="32"/>
          <w14:textFill>
            <w14:solidFill>
              <w14:schemeClr w14:val="tx1"/>
            </w14:solidFill>
          </w14:textFill>
        </w:rPr>
      </w:pPr>
      <w:r>
        <w:rPr>
          <w:rFonts w:ascii="Times New Roman" w:hAnsi="Times New Roman" w:eastAsia="仿宋_GB2312" w:cs="Times New Roman"/>
          <w:b/>
          <w:bCs/>
          <w:color w:val="000000" w:themeColor="text1"/>
          <w:kern w:val="28"/>
          <w:sz w:val="21"/>
          <w:szCs w:val="32"/>
          <w14:textFill>
            <w14:solidFill>
              <w14:schemeClr w14:val="tx1"/>
            </w14:solidFill>
          </w14:textFill>
        </w:rPr>
        <w:t>表</w:t>
      </w:r>
      <w:r>
        <w:rPr>
          <w:rFonts w:hint="eastAsia" w:ascii="Times New Roman" w:hAnsi="Times New Roman" w:cs="Times New Roman"/>
          <w:b/>
          <w:bCs/>
          <w:color w:val="000000" w:themeColor="text1"/>
          <w:kern w:val="28"/>
          <w:sz w:val="21"/>
          <w:szCs w:val="32"/>
          <w:lang w:val="en-US" w:eastAsia="zh-CN"/>
          <w14:textFill>
            <w14:solidFill>
              <w14:schemeClr w14:val="tx1"/>
            </w14:solidFill>
          </w14:textFill>
        </w:rPr>
        <w:t>3</w:t>
      </w:r>
      <w:r>
        <w:rPr>
          <w:rFonts w:ascii="Times New Roman" w:hAnsi="Times New Roman" w:eastAsia="仿宋_GB2312" w:cs="Times New Roman"/>
          <w:b/>
          <w:bCs/>
          <w:color w:val="000000" w:themeColor="text1"/>
          <w:kern w:val="28"/>
          <w:sz w:val="21"/>
          <w:szCs w:val="32"/>
          <w14:textFill>
            <w14:solidFill>
              <w14:schemeClr w14:val="tx1"/>
            </w14:solidFill>
          </w14:textFill>
        </w:rPr>
        <w:t xml:space="preserve"> 土石方汇总表</w:t>
      </w:r>
      <w:r>
        <w:rPr>
          <w:rFonts w:hint="eastAsia" w:ascii="Times New Roman" w:hAnsi="Times New Roman" w:eastAsia="仿宋_GB2312" w:cs="Times New Roman"/>
          <w:b/>
          <w:bCs/>
          <w:color w:val="000000" w:themeColor="text1"/>
          <w:kern w:val="28"/>
          <w:sz w:val="21"/>
          <w:szCs w:val="32"/>
          <w14:textFill>
            <w14:solidFill>
              <w14:schemeClr w14:val="tx1"/>
            </w14:solidFill>
          </w14:textFill>
        </w:rPr>
        <w:t xml:space="preserve">    万m</w:t>
      </w:r>
      <w:r>
        <w:rPr>
          <w:rFonts w:hint="eastAsia" w:ascii="Times New Roman" w:hAnsi="Times New Roman" w:eastAsia="仿宋_GB2312" w:cs="Times New Roman"/>
          <w:b/>
          <w:bCs/>
          <w:color w:val="000000" w:themeColor="text1"/>
          <w:kern w:val="28"/>
          <w:sz w:val="21"/>
          <w:szCs w:val="32"/>
          <w:vertAlign w:val="superscript"/>
          <w14:textFill>
            <w14:solidFill>
              <w14:schemeClr w14:val="tx1"/>
            </w14:solidFill>
          </w14:textFill>
        </w:rPr>
        <w:t>3</w:t>
      </w:r>
    </w:p>
    <w:tbl>
      <w:tblPr>
        <w:tblStyle w:val="15"/>
        <w:tblW w:w="8370" w:type="dxa"/>
        <w:tblInd w:w="-157"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395"/>
        <w:gridCol w:w="675"/>
        <w:gridCol w:w="720"/>
        <w:gridCol w:w="660"/>
        <w:gridCol w:w="675"/>
        <w:gridCol w:w="765"/>
        <w:gridCol w:w="690"/>
        <w:gridCol w:w="750"/>
        <w:gridCol w:w="735"/>
        <w:gridCol w:w="660"/>
        <w:gridCol w:w="64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Merge w:val="restart"/>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项目分区</w:t>
            </w:r>
          </w:p>
        </w:tc>
        <w:tc>
          <w:tcPr>
            <w:tcW w:w="675" w:type="dxa"/>
            <w:vMerge w:val="restart"/>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挖方</w:t>
            </w:r>
          </w:p>
        </w:tc>
        <w:tc>
          <w:tcPr>
            <w:tcW w:w="720" w:type="dxa"/>
            <w:vMerge w:val="restart"/>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填方</w:t>
            </w:r>
          </w:p>
        </w:tc>
        <w:tc>
          <w:tcPr>
            <w:tcW w:w="1335" w:type="dxa"/>
            <w:gridSpan w:val="2"/>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区间调入</w:t>
            </w:r>
          </w:p>
        </w:tc>
        <w:tc>
          <w:tcPr>
            <w:tcW w:w="1455" w:type="dxa"/>
            <w:gridSpan w:val="2"/>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区间调出</w:t>
            </w:r>
          </w:p>
        </w:tc>
        <w:tc>
          <w:tcPr>
            <w:tcW w:w="1485" w:type="dxa"/>
            <w:gridSpan w:val="2"/>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借方</w:t>
            </w:r>
          </w:p>
        </w:tc>
        <w:tc>
          <w:tcPr>
            <w:tcW w:w="1305" w:type="dxa"/>
            <w:gridSpan w:val="2"/>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余方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Merge w:val="continue"/>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75" w:type="dxa"/>
            <w:vMerge w:val="continue"/>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20" w:type="dxa"/>
            <w:vMerge w:val="continue"/>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数量</w:t>
            </w: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来源</w:t>
            </w:r>
          </w:p>
        </w:tc>
        <w:tc>
          <w:tcPr>
            <w:tcW w:w="76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数量</w:t>
            </w:r>
          </w:p>
        </w:tc>
        <w:tc>
          <w:tcPr>
            <w:tcW w:w="69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去向</w:t>
            </w:r>
          </w:p>
        </w:tc>
        <w:tc>
          <w:tcPr>
            <w:tcW w:w="75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数量</w:t>
            </w:r>
          </w:p>
        </w:tc>
        <w:tc>
          <w:tcPr>
            <w:tcW w:w="73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来源</w:t>
            </w: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数量</w:t>
            </w:r>
          </w:p>
        </w:tc>
        <w:tc>
          <w:tcPr>
            <w:tcW w:w="64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去向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集电线路</w:t>
            </w:r>
            <w:r>
              <w:rPr>
                <w:rFonts w:hint="eastAsia" w:ascii="Times New Roman" w:hAnsi="Times New Roman" w:eastAsia="仿宋_GB2312" w:cs="Times New Roman"/>
                <w:color w:val="000000" w:themeColor="text1"/>
                <w:sz w:val="21"/>
                <w:szCs w:val="21"/>
                <w14:textFill>
                  <w14:solidFill>
                    <w14:schemeClr w14:val="tx1"/>
                  </w14:solidFill>
                </w14:textFill>
              </w:rPr>
              <w:t>区</w:t>
            </w:r>
          </w:p>
        </w:tc>
        <w:tc>
          <w:tcPr>
            <w:tcW w:w="675" w:type="dxa"/>
            <w:vAlign w:val="center"/>
          </w:tcPr>
          <w:p>
            <w:pPr>
              <w:spacing w:line="240" w:lineRule="auto"/>
              <w:ind w:firstLine="0" w:firstLineChars="0"/>
              <w:jc w:val="center"/>
              <w:rPr>
                <w:rFonts w:hint="default" w:ascii="Times New Roman" w:hAnsi="Times New Roman" w:eastAsia="仿宋_GB2312" w:cs="Times New Roman"/>
                <w:color w:val="000000" w:themeColor="text1"/>
                <w:sz w:val="21"/>
                <w:szCs w:val="24"/>
                <w:lang w:val="en-US" w:eastAsia="zh-CN"/>
                <w14:textFill>
                  <w14:solidFill>
                    <w14:schemeClr w14:val="tx1"/>
                  </w14:solidFill>
                </w14:textFill>
              </w:rPr>
            </w:pPr>
            <w:r>
              <w:rPr>
                <w:rFonts w:hint="eastAsia" w:ascii="Times New Roman" w:hAnsi="Times New Roman" w:cs="Times New Roman"/>
                <w:color w:val="000000" w:themeColor="text1"/>
                <w:sz w:val="21"/>
                <w:szCs w:val="24"/>
                <w:lang w:val="en-US" w:eastAsia="zh-CN"/>
                <w14:textFill>
                  <w14:solidFill>
                    <w14:schemeClr w14:val="tx1"/>
                  </w14:solidFill>
                </w14:textFill>
              </w:rPr>
              <w:t>1.07</w:t>
            </w:r>
          </w:p>
        </w:tc>
        <w:tc>
          <w:tcPr>
            <w:tcW w:w="720" w:type="dxa"/>
            <w:vAlign w:val="center"/>
          </w:tcPr>
          <w:p>
            <w:pPr>
              <w:spacing w:line="240" w:lineRule="auto"/>
              <w:ind w:firstLine="0" w:firstLineChars="0"/>
              <w:jc w:val="center"/>
              <w:rPr>
                <w:rFonts w:hint="default" w:ascii="Times New Roman" w:hAnsi="Times New Roman" w:eastAsia="仿宋_GB2312" w:cs="Times New Roman"/>
                <w:color w:val="000000" w:themeColor="text1"/>
                <w:sz w:val="21"/>
                <w:szCs w:val="24"/>
                <w:lang w:val="en-US" w:eastAsia="zh-CN"/>
                <w14:textFill>
                  <w14:solidFill>
                    <w14:schemeClr w14:val="tx1"/>
                  </w14:solidFill>
                </w14:textFill>
              </w:rPr>
            </w:pPr>
            <w:r>
              <w:rPr>
                <w:rFonts w:hint="eastAsia" w:ascii="Times New Roman" w:hAnsi="Times New Roman" w:cs="Times New Roman"/>
                <w:color w:val="000000" w:themeColor="text1"/>
                <w:sz w:val="21"/>
                <w:szCs w:val="24"/>
                <w:lang w:val="en-US" w:eastAsia="zh-CN"/>
                <w14:textFill>
                  <w14:solidFill>
                    <w14:schemeClr w14:val="tx1"/>
                  </w14:solidFill>
                </w14:textFill>
              </w:rPr>
              <w:t>1.07</w:t>
            </w: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6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9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5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3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4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施工道路</w:t>
            </w:r>
            <w:r>
              <w:rPr>
                <w:rFonts w:hint="eastAsia" w:ascii="Times New Roman" w:hAnsi="Times New Roman" w:eastAsia="仿宋_GB2312" w:cs="Times New Roman"/>
                <w:color w:val="000000" w:themeColor="text1"/>
                <w:sz w:val="21"/>
                <w:szCs w:val="21"/>
                <w14:textFill>
                  <w14:solidFill>
                    <w14:schemeClr w14:val="tx1"/>
                  </w14:solidFill>
                </w14:textFill>
              </w:rPr>
              <w:t>区</w:t>
            </w: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2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6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9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5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3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4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39" w:hRule="atLeast"/>
        </w:trPr>
        <w:tc>
          <w:tcPr>
            <w:tcW w:w="139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牵张场</w:t>
            </w:r>
            <w:r>
              <w:rPr>
                <w:rFonts w:hint="eastAsia" w:ascii="Times New Roman" w:hAnsi="Times New Roman" w:eastAsia="仿宋_GB2312" w:cs="Times New Roman"/>
                <w:color w:val="000000" w:themeColor="text1"/>
                <w:sz w:val="21"/>
                <w:szCs w:val="21"/>
                <w14:textFill>
                  <w14:solidFill>
                    <w14:schemeClr w14:val="tx1"/>
                  </w14:solidFill>
                </w14:textFill>
              </w:rPr>
              <w:t>区</w:t>
            </w: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2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6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9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5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3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4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139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r>
              <w:rPr>
                <w:rFonts w:ascii="Times New Roman" w:hAnsi="Times New Roman" w:eastAsia="仿宋_GB2312" w:cs="Times New Roman"/>
                <w:color w:val="000000" w:themeColor="text1"/>
                <w:sz w:val="21"/>
                <w:szCs w:val="24"/>
                <w14:textFill>
                  <w14:solidFill>
                    <w14:schemeClr w14:val="tx1"/>
                  </w14:solidFill>
                </w14:textFill>
              </w:rPr>
              <w:t>总计</w:t>
            </w:r>
          </w:p>
        </w:tc>
        <w:tc>
          <w:tcPr>
            <w:tcW w:w="675" w:type="dxa"/>
            <w:vAlign w:val="center"/>
          </w:tcPr>
          <w:p>
            <w:pPr>
              <w:spacing w:line="240" w:lineRule="auto"/>
              <w:ind w:firstLine="0" w:firstLineChars="0"/>
              <w:jc w:val="center"/>
              <w:rPr>
                <w:rFonts w:hint="default" w:ascii="Times New Roman" w:hAnsi="Times New Roman" w:eastAsia="仿宋_GB2312" w:cs="Times New Roman"/>
                <w:color w:val="000000" w:themeColor="text1"/>
                <w:sz w:val="21"/>
                <w:szCs w:val="24"/>
                <w:lang w:val="en-US" w:eastAsia="zh-CN"/>
                <w14:textFill>
                  <w14:solidFill>
                    <w14:schemeClr w14:val="tx1"/>
                  </w14:solidFill>
                </w14:textFill>
              </w:rPr>
            </w:pPr>
            <w:r>
              <w:rPr>
                <w:rFonts w:hint="eastAsia" w:ascii="Times New Roman" w:hAnsi="Times New Roman" w:cs="Times New Roman"/>
                <w:color w:val="000000" w:themeColor="text1"/>
                <w:sz w:val="21"/>
                <w:szCs w:val="24"/>
                <w:lang w:val="en-US" w:eastAsia="zh-CN"/>
                <w14:textFill>
                  <w14:solidFill>
                    <w14:schemeClr w14:val="tx1"/>
                  </w14:solidFill>
                </w14:textFill>
              </w:rPr>
              <w:t>1.07</w:t>
            </w:r>
          </w:p>
        </w:tc>
        <w:tc>
          <w:tcPr>
            <w:tcW w:w="720" w:type="dxa"/>
            <w:vAlign w:val="center"/>
          </w:tcPr>
          <w:p>
            <w:pPr>
              <w:spacing w:line="240" w:lineRule="auto"/>
              <w:ind w:firstLine="0" w:firstLineChars="0"/>
              <w:jc w:val="center"/>
              <w:rPr>
                <w:rFonts w:hint="default" w:ascii="Times New Roman" w:hAnsi="Times New Roman" w:eastAsia="仿宋_GB2312" w:cs="Times New Roman"/>
                <w:color w:val="000000" w:themeColor="text1"/>
                <w:sz w:val="21"/>
                <w:szCs w:val="24"/>
                <w:lang w:val="en-US" w:eastAsia="zh-CN"/>
                <w14:textFill>
                  <w14:solidFill>
                    <w14:schemeClr w14:val="tx1"/>
                  </w14:solidFill>
                </w14:textFill>
              </w:rPr>
            </w:pPr>
            <w:r>
              <w:rPr>
                <w:rFonts w:hint="eastAsia" w:ascii="Times New Roman" w:hAnsi="Times New Roman" w:cs="Times New Roman"/>
                <w:color w:val="000000" w:themeColor="text1"/>
                <w:sz w:val="21"/>
                <w:szCs w:val="24"/>
                <w:lang w:val="en-US" w:eastAsia="zh-CN"/>
                <w14:textFill>
                  <w14:solidFill>
                    <w14:schemeClr w14:val="tx1"/>
                  </w14:solidFill>
                </w14:textFill>
              </w:rPr>
              <w:t>1.07</w:t>
            </w: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7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6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9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5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73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60"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c>
          <w:tcPr>
            <w:tcW w:w="645" w:type="dxa"/>
            <w:vAlign w:val="center"/>
          </w:tcPr>
          <w:p>
            <w:pPr>
              <w:spacing w:line="240" w:lineRule="auto"/>
              <w:ind w:firstLine="0" w:firstLineChars="0"/>
              <w:jc w:val="center"/>
              <w:rPr>
                <w:rFonts w:ascii="Times New Roman" w:hAnsi="Times New Roman" w:eastAsia="仿宋_GB2312" w:cs="Times New Roman"/>
                <w:color w:val="000000" w:themeColor="text1"/>
                <w:sz w:val="21"/>
                <w:szCs w:val="24"/>
                <w14:textFill>
                  <w14:solidFill>
                    <w14:schemeClr w14:val="tx1"/>
                  </w14:solidFill>
                </w14:textFill>
              </w:rPr>
            </w:pPr>
          </w:p>
        </w:tc>
      </w:tr>
    </w:tbl>
    <w:p>
      <w:pPr>
        <w:pStyle w:val="13"/>
        <w:widowControl/>
        <w:numPr>
          <w:ilvl w:val="0"/>
          <w:numId w:val="0"/>
        </w:numPr>
        <w:spacing w:line="360" w:lineRule="auto"/>
        <w:ind w:firstLine="480" w:firstLineChars="200"/>
        <w:rPr>
          <w:rFonts w:hint="eastAsia" w:ascii="Times New Roman" w:hAnsi="Times New Roman" w:eastAsia="仿宋_GB2312" w:cs="Times New Roman"/>
          <w:szCs w:val="22"/>
          <w:lang w:val="en-US" w:eastAsia="zh-CN"/>
        </w:rPr>
      </w:pPr>
      <w:r>
        <w:rPr>
          <w:rFonts w:hint="eastAsia" w:eastAsia="仿宋_GB2312" w:cs="Times New Roman"/>
          <w:szCs w:val="22"/>
          <w:lang w:val="en-US" w:eastAsia="zh-CN"/>
        </w:rPr>
        <w:t>二、</w:t>
      </w:r>
      <w:r>
        <w:rPr>
          <w:rFonts w:hint="eastAsia" w:ascii="Times New Roman" w:hAnsi="Times New Roman" w:eastAsia="仿宋_GB2312" w:cs="Times New Roman"/>
          <w:szCs w:val="22"/>
          <w:lang w:val="en-US" w:eastAsia="zh-CN"/>
        </w:rPr>
        <w:t>项目表土</w:t>
      </w:r>
    </w:p>
    <w:p>
      <w:pPr>
        <w:pStyle w:val="13"/>
        <w:widowControl/>
        <w:numPr>
          <w:ilvl w:val="0"/>
          <w:numId w:val="0"/>
        </w:numPr>
        <w:spacing w:line="360" w:lineRule="auto"/>
        <w:ind w:firstLine="480" w:firstLineChars="200"/>
        <w:rPr>
          <w:rFonts w:hint="eastAsia" w:ascii="Times New Roman" w:hAnsi="Times New Roman" w:eastAsia="仿宋_GB2312" w:cs="Times New Roman"/>
          <w:szCs w:val="22"/>
          <w:lang w:val="en-US" w:eastAsia="zh-CN"/>
        </w:rPr>
      </w:pPr>
      <w:r>
        <w:rPr>
          <w:rFonts w:hint="eastAsia" w:ascii="Times New Roman" w:hAnsi="Times New Roman" w:eastAsia="仿宋_GB2312" w:cs="Times New Roman"/>
          <w:szCs w:val="22"/>
          <w:lang w:val="en-US" w:eastAsia="zh-CN"/>
        </w:rPr>
        <w:t>项目施工工期短，集电线路塔基开挖及直埋电缆开挖区域为分层开挖，施工结束时分层回填，施工道路区及牵张场区域在耕地上铺设钢板对表土进行保护。</w:t>
      </w:r>
    </w:p>
    <w:p>
      <w:pPr>
        <w:pStyle w:val="4"/>
        <w:rPr>
          <w:rFonts w:hint="eastAsia"/>
          <w:lang w:val="en-US" w:eastAsia="zh-CN"/>
        </w:rPr>
      </w:pPr>
      <w:r>
        <w:rPr>
          <w:rFonts w:hint="eastAsia"/>
          <w:lang w:val="en-US" w:eastAsia="zh-CN"/>
        </w:rPr>
        <w:t>1.3项目前期工作情况</w:t>
      </w:r>
    </w:p>
    <w:p>
      <w:pPr>
        <w:spacing w:line="360" w:lineRule="auto"/>
        <w:ind w:firstLine="480" w:firstLineChars="200"/>
        <w:rPr>
          <w:rFonts w:hint="eastAsia" w:ascii="Times New Roman" w:hAnsi="Times New Roman" w:eastAsia="仿宋_GB2312" w:cs="Times New Roman"/>
          <w:sz w:val="24"/>
          <w:szCs w:val="22"/>
        </w:rPr>
      </w:pPr>
      <w:r>
        <w:rPr>
          <w:rFonts w:hint="eastAsia"/>
          <w:sz w:val="24"/>
          <w:szCs w:val="24"/>
        </w:rPr>
        <w:t>20</w:t>
      </w:r>
      <w:r>
        <w:rPr>
          <w:rFonts w:hint="eastAsia"/>
          <w:sz w:val="24"/>
          <w:szCs w:val="24"/>
          <w:lang w:val="en-US" w:eastAsia="zh-CN"/>
        </w:rPr>
        <w:t>20</w:t>
      </w:r>
      <w:r>
        <w:rPr>
          <w:rFonts w:hint="eastAsia"/>
          <w:sz w:val="24"/>
          <w:szCs w:val="24"/>
        </w:rPr>
        <w:t>年8月，</w:t>
      </w:r>
      <w:r>
        <w:rPr>
          <w:rFonts w:hint="eastAsia" w:ascii="Times New Roman" w:hAnsi="Times New Roman" w:eastAsia="仿宋_GB2312" w:cs="Times New Roman"/>
          <w:sz w:val="24"/>
          <w:szCs w:val="22"/>
        </w:rPr>
        <w:t>中国能源建设集团</w:t>
      </w:r>
      <w:r>
        <w:rPr>
          <w:rFonts w:hint="eastAsia" w:cs="Times New Roman"/>
          <w:sz w:val="24"/>
          <w:szCs w:val="22"/>
          <w:lang w:val="en-US" w:eastAsia="zh-CN"/>
        </w:rPr>
        <w:t>安徽华电工程咨询设计有限公司</w:t>
      </w:r>
      <w:r>
        <w:rPr>
          <w:rFonts w:hint="eastAsia" w:ascii="Times New Roman" w:hAnsi="Times New Roman" w:eastAsia="仿宋_GB2312" w:cs="Times New Roman"/>
          <w:sz w:val="24"/>
          <w:szCs w:val="22"/>
        </w:rPr>
        <w:t>编制完成了《中广核霍邱县高塘镇49MW光伏发电项目</w:t>
      </w:r>
      <w:r>
        <w:rPr>
          <w:rFonts w:hint="eastAsia" w:cs="Times New Roman"/>
          <w:sz w:val="24"/>
          <w:szCs w:val="22"/>
          <w:lang w:val="en-US" w:eastAsia="zh-CN"/>
        </w:rPr>
        <w:t>110KV送出线路工程初步设计说明书</w:t>
      </w:r>
      <w:r>
        <w:rPr>
          <w:rFonts w:hint="eastAsia" w:ascii="Times New Roman" w:hAnsi="Times New Roman" w:eastAsia="仿宋_GB2312" w:cs="Times New Roman"/>
          <w:sz w:val="24"/>
          <w:szCs w:val="22"/>
        </w:rPr>
        <w:t>》。</w:t>
      </w:r>
    </w:p>
    <w:p>
      <w:pPr>
        <w:spacing w:line="360" w:lineRule="auto"/>
        <w:ind w:firstLine="480" w:firstLineChars="200"/>
        <w:rPr>
          <w:rFonts w:hint="eastAsia"/>
        </w:rPr>
      </w:pPr>
      <w:r>
        <w:rPr>
          <w:rFonts w:hint="eastAsia"/>
          <w:sz w:val="24"/>
          <w:szCs w:val="24"/>
        </w:rPr>
        <w:t>20</w:t>
      </w:r>
      <w:r>
        <w:rPr>
          <w:rFonts w:hint="eastAsia"/>
          <w:sz w:val="24"/>
          <w:szCs w:val="24"/>
          <w:lang w:val="en-US" w:eastAsia="zh-CN"/>
        </w:rPr>
        <w:t>20</w:t>
      </w:r>
      <w:r>
        <w:rPr>
          <w:rFonts w:hint="eastAsia"/>
          <w:sz w:val="24"/>
          <w:szCs w:val="24"/>
        </w:rPr>
        <w:t>年</w:t>
      </w:r>
      <w:r>
        <w:rPr>
          <w:rFonts w:hint="eastAsia"/>
          <w:sz w:val="24"/>
          <w:szCs w:val="24"/>
          <w:lang w:val="en-US" w:eastAsia="zh-CN"/>
        </w:rPr>
        <w:t>9月</w:t>
      </w:r>
      <w:r>
        <w:rPr>
          <w:rFonts w:hint="eastAsia"/>
          <w:sz w:val="24"/>
          <w:szCs w:val="24"/>
        </w:rPr>
        <w:t>，</w:t>
      </w:r>
      <w:r>
        <w:rPr>
          <w:sz w:val="24"/>
          <w:szCs w:val="24"/>
        </w:rPr>
        <w:t>取得线路沿线主要单位</w:t>
      </w:r>
      <w:r>
        <w:rPr>
          <w:rFonts w:hint="eastAsia"/>
          <w:sz w:val="24"/>
          <w:szCs w:val="24"/>
        </w:rPr>
        <w:t>出具的线路工程意见函。</w:t>
      </w:r>
    </w:p>
    <w:p>
      <w:pPr>
        <w:spacing w:line="360" w:lineRule="auto"/>
        <w:ind w:firstLine="480" w:firstLineChars="200"/>
        <w:rPr>
          <w:rFonts w:hint="eastAsia"/>
        </w:rPr>
      </w:pPr>
      <w:r>
        <w:rPr>
          <w:rFonts w:hint="eastAsia" w:ascii="Times New Roman" w:hAnsi="Times New Roman" w:eastAsia="仿宋_GB2312" w:cs="Times New Roman"/>
          <w:sz w:val="24"/>
          <w:szCs w:val="22"/>
        </w:rPr>
        <w:t>2020年</w:t>
      </w:r>
      <w:r>
        <w:rPr>
          <w:rFonts w:hint="eastAsia" w:cs="Times New Roman"/>
          <w:sz w:val="24"/>
          <w:szCs w:val="22"/>
          <w:lang w:val="en-US" w:eastAsia="zh-CN"/>
        </w:rPr>
        <w:t>10</w:t>
      </w:r>
      <w:r>
        <w:rPr>
          <w:rFonts w:hint="eastAsia" w:ascii="Times New Roman" w:hAnsi="Times New Roman" w:eastAsia="仿宋_GB2312" w:cs="Times New Roman"/>
          <w:sz w:val="24"/>
          <w:szCs w:val="22"/>
        </w:rPr>
        <w:t>月</w:t>
      </w:r>
      <w:r>
        <w:rPr>
          <w:rFonts w:hint="eastAsia" w:cs="Times New Roman"/>
          <w:sz w:val="24"/>
          <w:szCs w:val="22"/>
          <w:lang w:val="en-US" w:eastAsia="zh-CN"/>
        </w:rPr>
        <w:t>19</w:t>
      </w:r>
      <w:r>
        <w:rPr>
          <w:rFonts w:hint="eastAsia" w:ascii="Times New Roman" w:hAnsi="Times New Roman" w:eastAsia="仿宋_GB2312" w:cs="Times New Roman"/>
          <w:sz w:val="24"/>
          <w:szCs w:val="22"/>
        </w:rPr>
        <w:t>日，六安市发展和改革委员</w:t>
      </w:r>
      <w:r>
        <w:rPr>
          <w:rFonts w:hint="eastAsia" w:cs="Times New Roman"/>
          <w:sz w:val="24"/>
          <w:szCs w:val="22"/>
          <w:lang w:val="en-US" w:eastAsia="zh-CN"/>
        </w:rPr>
        <w:t>会</w:t>
      </w:r>
      <w:r>
        <w:rPr>
          <w:rFonts w:hint="eastAsia"/>
          <w:sz w:val="24"/>
          <w:szCs w:val="24"/>
        </w:rPr>
        <w:t>以六发改审批核[20</w:t>
      </w:r>
      <w:r>
        <w:rPr>
          <w:rFonts w:hint="eastAsia"/>
          <w:sz w:val="24"/>
          <w:szCs w:val="24"/>
          <w:lang w:val="en-US" w:eastAsia="zh-CN"/>
        </w:rPr>
        <w:t>20</w:t>
      </w:r>
      <w:r>
        <w:rPr>
          <w:rFonts w:hint="eastAsia"/>
          <w:sz w:val="24"/>
          <w:szCs w:val="24"/>
        </w:rPr>
        <w:t>]</w:t>
      </w:r>
      <w:r>
        <w:rPr>
          <w:rFonts w:hint="eastAsia"/>
          <w:sz w:val="24"/>
          <w:szCs w:val="24"/>
          <w:lang w:val="en-US" w:eastAsia="zh-CN"/>
        </w:rPr>
        <w:t>135</w:t>
      </w:r>
      <w:r>
        <w:rPr>
          <w:rFonts w:hint="eastAsia"/>
          <w:sz w:val="24"/>
          <w:szCs w:val="24"/>
        </w:rPr>
        <w:t>号对本项目进行核准。</w:t>
      </w:r>
    </w:p>
    <w:p>
      <w:pPr>
        <w:adjustRightInd w:val="0"/>
        <w:snapToGrid w:val="0"/>
        <w:jc w:val="both"/>
        <w:rPr>
          <w:rFonts w:hint="eastAsia"/>
          <w:sz w:val="24"/>
          <w:szCs w:val="24"/>
        </w:rPr>
      </w:pPr>
      <w:r>
        <w:rPr>
          <w:rFonts w:hint="eastAsia"/>
          <w:sz w:val="24"/>
          <w:szCs w:val="24"/>
        </w:rPr>
        <w:t>2020年</w:t>
      </w:r>
      <w:r>
        <w:rPr>
          <w:rFonts w:hint="eastAsia"/>
          <w:sz w:val="24"/>
          <w:szCs w:val="24"/>
          <w:lang w:val="en-US" w:eastAsia="zh-CN"/>
        </w:rPr>
        <w:t>10</w:t>
      </w:r>
      <w:r>
        <w:rPr>
          <w:rFonts w:hint="eastAsia"/>
          <w:sz w:val="24"/>
          <w:szCs w:val="24"/>
        </w:rPr>
        <w:t>月，</w:t>
      </w:r>
      <w:r>
        <w:rPr>
          <w:rFonts w:hint="eastAsia" w:ascii="Times New Roman" w:hAnsi="Times New Roman" w:eastAsia="仿宋_GB2312" w:cs="Times New Roman"/>
          <w:sz w:val="24"/>
          <w:szCs w:val="22"/>
        </w:rPr>
        <w:t>建设单位委托我司</w:t>
      </w:r>
      <w:r>
        <w:rPr>
          <w:rFonts w:hint="eastAsia"/>
          <w:sz w:val="24"/>
          <w:szCs w:val="24"/>
        </w:rPr>
        <w:t>承担该工程水土保持方案报告表编制，我公司接受委托后及时组成项目组，按照《中华人民共和国水土保持法》等法律法规以及技术规范、标准的要求，通过现场查勘、调查、搜集资料，于2020年</w:t>
      </w:r>
      <w:r>
        <w:rPr>
          <w:rFonts w:hint="eastAsia"/>
          <w:sz w:val="24"/>
          <w:szCs w:val="24"/>
          <w:lang w:val="en-US" w:eastAsia="zh-CN"/>
        </w:rPr>
        <w:t>10</w:t>
      </w:r>
      <w:r>
        <w:rPr>
          <w:rFonts w:hint="eastAsia"/>
          <w:sz w:val="24"/>
          <w:szCs w:val="24"/>
        </w:rPr>
        <w:t>月编制完成了《</w:t>
      </w:r>
      <w:r>
        <w:rPr>
          <w:rFonts w:hint="eastAsia"/>
          <w:sz w:val="24"/>
          <w:szCs w:val="24"/>
          <w:lang w:val="en-US" w:eastAsia="zh-CN"/>
        </w:rPr>
        <w:t>中广核霍邱县高塘镇49兆瓦农光互补光伏发电</w:t>
      </w:r>
      <w:r>
        <w:rPr>
          <w:rFonts w:hint="eastAsia"/>
          <w:sz w:val="24"/>
          <w:szCs w:val="24"/>
        </w:rPr>
        <w:t>项目</w:t>
      </w:r>
      <w:r>
        <w:rPr>
          <w:rFonts w:hint="eastAsia"/>
          <w:sz w:val="24"/>
          <w:szCs w:val="24"/>
          <w:lang w:val="en-US" w:eastAsia="zh-CN"/>
        </w:rPr>
        <w:t>110kv送出线路工程</w:t>
      </w:r>
      <w:r>
        <w:rPr>
          <w:rFonts w:hint="eastAsia"/>
          <w:sz w:val="24"/>
          <w:szCs w:val="24"/>
        </w:rPr>
        <w:t>水土保持方案报告表》。</w:t>
      </w:r>
    </w:p>
    <w:p>
      <w:pPr>
        <w:pStyle w:val="4"/>
        <w:rPr>
          <w:rFonts w:hint="eastAsia"/>
          <w:lang w:val="en-US" w:eastAsia="zh-CN"/>
        </w:rPr>
      </w:pPr>
      <w:r>
        <w:rPr>
          <w:rFonts w:hint="eastAsia"/>
          <w:lang w:val="en-US" w:eastAsia="zh-CN"/>
        </w:rPr>
        <w:t>1.4自然概况</w:t>
      </w:r>
    </w:p>
    <w:p>
      <w:pPr>
        <w:spacing w:line="360" w:lineRule="auto"/>
        <w:ind w:firstLine="480" w:firstLineChars="200"/>
        <w:jc w:val="both"/>
        <w:rPr>
          <w:rFonts w:hint="default" w:ascii="Times New Roman" w:hAnsi="Times New Roman" w:eastAsia="仿宋_GB2312" w:cs="Times New Roman"/>
          <w:sz w:val="24"/>
          <w:szCs w:val="22"/>
          <w:lang w:val="en-US" w:eastAsia="zh-CN"/>
        </w:rPr>
      </w:pPr>
      <w:r>
        <w:rPr>
          <w:rFonts w:hint="eastAsia" w:ascii="Times New Roman" w:hAnsi="Times New Roman" w:eastAsia="仿宋_GB2312" w:cs="Times New Roman"/>
          <w:sz w:val="24"/>
          <w:szCs w:val="22"/>
        </w:rPr>
        <w:t>项目区气候温和湿润，日照充足，雨量充沛集中，无霜期长，属亚热带湿润性季风气候。根据霍邱县多年平均气温</w:t>
      </w:r>
      <w:r>
        <w:rPr>
          <w:rFonts w:ascii="Times New Roman" w:hAnsi="Times New Roman" w:eastAsia="仿宋_GB2312" w:cs="Times New Roman"/>
          <w:sz w:val="24"/>
          <w:szCs w:val="22"/>
        </w:rPr>
        <w:t>15.3</w:t>
      </w:r>
      <w:r>
        <w:rPr>
          <w:rFonts w:ascii="Times New Roman" w:hAnsi="Times New Roman" w:eastAsia="仿宋_GB2312" w:cs="Times New Roman"/>
          <w:sz w:val="24"/>
          <w:szCs w:val="24"/>
          <w:lang w:val="zh-CN" w:bidi="zh-CN"/>
        </w:rPr>
        <w:t>°C</w:t>
      </w:r>
      <w:r>
        <w:rPr>
          <w:rFonts w:hint="eastAsia" w:ascii="Times New Roman" w:hAnsi="Times New Roman" w:eastAsia="仿宋_GB2312" w:cs="Times New Roman"/>
          <w:sz w:val="24"/>
          <w:szCs w:val="22"/>
        </w:rPr>
        <w:t>，多年平均降水量</w:t>
      </w:r>
      <w:r>
        <w:rPr>
          <w:rFonts w:ascii="Times New Roman" w:hAnsi="Times New Roman" w:eastAsia="仿宋_GB2312" w:cs="Times New Roman"/>
          <w:sz w:val="24"/>
          <w:szCs w:val="22"/>
        </w:rPr>
        <w:t>989.8mm</w:t>
      </w:r>
      <w:r>
        <w:rPr>
          <w:rFonts w:hint="eastAsia" w:ascii="Times New Roman" w:hAnsi="Times New Roman" w:eastAsia="仿宋_GB2312" w:cs="Times New Roman"/>
          <w:sz w:val="24"/>
          <w:szCs w:val="22"/>
        </w:rPr>
        <w:t>，无霜期多年平均</w:t>
      </w:r>
      <w:r>
        <w:rPr>
          <w:rFonts w:ascii="Times New Roman" w:hAnsi="Times New Roman" w:eastAsia="仿宋_GB2312" w:cs="Times New Roman"/>
          <w:sz w:val="24"/>
          <w:szCs w:val="22"/>
        </w:rPr>
        <w:t>22</w:t>
      </w:r>
      <w:r>
        <w:rPr>
          <w:rFonts w:hint="eastAsia" w:ascii="Times New Roman" w:hAnsi="Times New Roman" w:eastAsia="仿宋_GB2312" w:cs="Times New Roman"/>
          <w:sz w:val="24"/>
          <w:szCs w:val="22"/>
        </w:rPr>
        <w:t>1.9天，地貌单元属江淮丘陵，主要土壤类型为黄棕壤、</w:t>
      </w:r>
      <w:r>
        <w:rPr>
          <w:rFonts w:hint="eastAsia" w:ascii="Times New Roman" w:hAnsi="Times New Roman" w:eastAsia="仿宋_GB2312" w:cs="Times New Roman"/>
          <w:sz w:val="24"/>
          <w:szCs w:val="22"/>
          <w:lang w:val="en-US" w:eastAsia="zh-CN"/>
        </w:rPr>
        <w:t>水稻土</w:t>
      </w:r>
      <w:r>
        <w:rPr>
          <w:rFonts w:hint="eastAsia" w:ascii="Times New Roman" w:hAnsi="Times New Roman" w:eastAsia="仿宋_GB2312" w:cs="Times New Roman"/>
          <w:sz w:val="24"/>
          <w:szCs w:val="22"/>
        </w:rPr>
        <w:t>，植被类型为亚热带常绿阔叶林</w:t>
      </w:r>
      <w:r>
        <w:rPr>
          <w:rFonts w:hint="eastAsia" w:ascii="Times New Roman" w:hAnsi="Times New Roman" w:eastAsia="仿宋_GB2312" w:cs="Times New Roman"/>
          <w:sz w:val="24"/>
          <w:szCs w:val="22"/>
          <w:lang w:val="en-US" w:eastAsia="zh-CN"/>
        </w:rPr>
        <w:t>。</w:t>
      </w:r>
    </w:p>
    <w:p>
      <w:pPr>
        <w:spacing w:line="360" w:lineRule="auto"/>
        <w:ind w:firstLine="480" w:firstLineChars="200"/>
        <w:jc w:val="both"/>
        <w:rPr>
          <w:rFonts w:ascii="Times New Roman" w:hAnsi="Times New Roman" w:eastAsia="仿宋_GB2312" w:cs="Times New Roman"/>
          <w:sz w:val="24"/>
          <w:szCs w:val="22"/>
        </w:rPr>
      </w:pPr>
      <w:r>
        <w:rPr>
          <w:rFonts w:hint="eastAsia" w:ascii="Times New Roman" w:hAnsi="Times New Roman" w:eastAsia="仿宋_GB2312" w:cs="Times New Roman"/>
          <w:sz w:val="24"/>
          <w:szCs w:val="22"/>
        </w:rPr>
        <w:t>本工程地处南方红壤区，土壤侵蚀以水力侵蚀为主，容许土壤流失量为200t/（km</w:t>
      </w:r>
      <w:r>
        <w:rPr>
          <w:rFonts w:hint="eastAsia" w:ascii="Times New Roman" w:hAnsi="Times New Roman" w:eastAsia="仿宋_GB2312" w:cs="Times New Roman"/>
          <w:sz w:val="24"/>
          <w:szCs w:val="22"/>
          <w:vertAlign w:val="superscript"/>
        </w:rPr>
        <w:t>2</w:t>
      </w:r>
      <w:r>
        <w:rPr>
          <w:rFonts w:hint="eastAsia" w:ascii="Times New Roman" w:hAnsi="Times New Roman" w:eastAsia="仿宋_GB2312" w:cs="Times New Roman"/>
          <w:sz w:val="24"/>
          <w:szCs w:val="22"/>
        </w:rPr>
        <w:t>·a），年平均土壤侵蚀模数本底值约为</w:t>
      </w:r>
      <w:r>
        <w:rPr>
          <w:rFonts w:hint="eastAsia" w:ascii="Times New Roman" w:hAnsi="Times New Roman" w:eastAsia="仿宋_GB2312" w:cs="Times New Roman"/>
          <w:sz w:val="24"/>
          <w:szCs w:val="22"/>
          <w:lang w:val="en-US" w:eastAsia="zh-CN"/>
        </w:rPr>
        <w:t>15</w:t>
      </w:r>
      <w:r>
        <w:rPr>
          <w:rFonts w:hint="eastAsia" w:ascii="Times New Roman" w:hAnsi="Times New Roman" w:eastAsia="仿宋_GB2312" w:cs="Times New Roman"/>
          <w:sz w:val="24"/>
          <w:szCs w:val="22"/>
        </w:rPr>
        <w:t>0t/（km</w:t>
      </w:r>
      <w:r>
        <w:rPr>
          <w:rFonts w:hint="eastAsia" w:ascii="Times New Roman" w:hAnsi="Times New Roman" w:eastAsia="仿宋_GB2312" w:cs="Times New Roman"/>
          <w:sz w:val="24"/>
          <w:szCs w:val="22"/>
          <w:vertAlign w:val="superscript"/>
        </w:rPr>
        <w:t>2</w:t>
      </w:r>
      <w:r>
        <w:rPr>
          <w:rFonts w:hint="eastAsia" w:ascii="Times New Roman" w:hAnsi="Times New Roman" w:eastAsia="仿宋_GB2312" w:cs="Times New Roman"/>
          <w:sz w:val="24"/>
          <w:szCs w:val="22"/>
        </w:rPr>
        <w:t>·a）。</w:t>
      </w:r>
    </w:p>
    <w:p>
      <w:pPr>
        <w:spacing w:line="360" w:lineRule="auto"/>
        <w:ind w:firstLine="480" w:firstLineChars="200"/>
        <w:jc w:val="both"/>
      </w:pPr>
      <w:r>
        <w:rPr>
          <w:rFonts w:hint="eastAsia" w:ascii="Times New Roman" w:hAnsi="Times New Roman" w:eastAsia="仿宋_GB2312" w:cs="Times New Roman"/>
          <w:sz w:val="24"/>
          <w:szCs w:val="22"/>
        </w:rPr>
        <w:t>项目所在区域不在饮用水水源保护区、水功能一级区的保护区和保留区、自然保护区、世界文化和自然遗产地、风景名胜区、地质公园、森林公园以及重要湿地等水土保持敏感区，也不属于国家级、安徽省及六安市划定的水土流失重点预防区与治理区。</w:t>
      </w:r>
    </w:p>
    <w:p>
      <w:pPr>
        <w:pStyle w:val="3"/>
        <w:numPr>
          <w:ilvl w:val="0"/>
          <w:numId w:val="0"/>
        </w:numPr>
        <w:rPr>
          <w:rFonts w:hint="eastAsia"/>
          <w:lang w:val="en-US" w:eastAsia="zh-CN"/>
        </w:rPr>
      </w:pPr>
      <w:bookmarkStart w:id="2" w:name="_Toc25572"/>
      <w:bookmarkStart w:id="3" w:name="_Toc39672207"/>
      <w:bookmarkStart w:id="4" w:name="_Toc13130"/>
      <w:bookmarkStart w:id="5" w:name="_Toc18029"/>
      <w:bookmarkStart w:id="6" w:name="_Toc24010"/>
      <w:bookmarkStart w:id="7" w:name="_Toc18466"/>
      <w:bookmarkStart w:id="8" w:name="_Toc29182930"/>
      <w:bookmarkStart w:id="9" w:name="_Toc23345"/>
      <w:bookmarkStart w:id="10" w:name="_Toc17718"/>
      <w:r>
        <w:rPr>
          <w:rFonts w:hint="eastAsia"/>
          <w:lang w:val="en-US" w:eastAsia="zh-CN"/>
        </w:rPr>
        <w:t>2 编制依据</w:t>
      </w:r>
      <w:bookmarkEnd w:id="2"/>
      <w:bookmarkEnd w:id="3"/>
      <w:bookmarkEnd w:id="4"/>
      <w:bookmarkEnd w:id="5"/>
      <w:bookmarkEnd w:id="6"/>
      <w:bookmarkEnd w:id="7"/>
      <w:bookmarkEnd w:id="8"/>
      <w:bookmarkEnd w:id="9"/>
      <w:bookmarkEnd w:id="10"/>
    </w:p>
    <w:p>
      <w:pPr>
        <w:spacing w:line="360" w:lineRule="auto"/>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1、《中华人民共和国水土保持法》（全国人大常委会，1991年6月29日公布；2009 年8月27日修改；2010年12月25日修订，自2011年3月1日起施行）；</w:t>
      </w:r>
    </w:p>
    <w:p>
      <w:pPr>
        <w:spacing w:line="360" w:lineRule="auto"/>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2、安徽省实施《中华人民共和国水土保持法》办法（安徽省人大常委会，1995年11月18日公布，1997年11月2日第一次修订，2014年11月20日第二次修订，2018年3月30日第三次修正，2018年4月2日实施）。</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3</w:t>
      </w:r>
      <w:r>
        <w:rPr>
          <w:rFonts w:ascii="Times New Roman" w:hAnsi="Times New Roman" w:eastAsia="仿宋_GB2312" w:cs="Times New Roman"/>
          <w:sz w:val="24"/>
        </w:rPr>
        <w:t>、《水利部办公厅关于印发生产建设项目水土保持技术文件编写和印制格式规定（试行）的通知》（办水保〔2018〕135号）；</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4</w:t>
      </w:r>
      <w:r>
        <w:rPr>
          <w:rFonts w:ascii="Times New Roman" w:hAnsi="Times New Roman" w:eastAsia="仿宋_GB2312" w:cs="Times New Roman"/>
          <w:sz w:val="24"/>
        </w:rPr>
        <w:t>、《生产建设项目水土保持技术标准》（GB50433-2018）；</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5</w:t>
      </w:r>
      <w:r>
        <w:rPr>
          <w:rFonts w:ascii="Times New Roman" w:hAnsi="Times New Roman" w:eastAsia="仿宋_GB2312" w:cs="Times New Roman"/>
          <w:sz w:val="24"/>
        </w:rPr>
        <w:t>、《生产建设项目水土流失防治标准》（GB/T50434-2018）；</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6</w:t>
      </w:r>
      <w:r>
        <w:rPr>
          <w:rFonts w:ascii="Times New Roman" w:hAnsi="Times New Roman" w:eastAsia="仿宋_GB2312" w:cs="Times New Roman"/>
          <w:sz w:val="24"/>
        </w:rPr>
        <w:t>、《水土保持工程设计规范》（GB51018-2014）；</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7</w:t>
      </w:r>
      <w:r>
        <w:rPr>
          <w:rFonts w:ascii="Times New Roman" w:hAnsi="Times New Roman" w:eastAsia="仿宋_GB2312" w:cs="Times New Roman"/>
          <w:sz w:val="24"/>
        </w:rPr>
        <w:t>、《土壤侵蚀分类分级标准》（SL190-2007）；</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8</w:t>
      </w:r>
      <w:r>
        <w:rPr>
          <w:rFonts w:ascii="Times New Roman" w:hAnsi="Times New Roman" w:eastAsia="仿宋_GB2312" w:cs="Times New Roman"/>
          <w:sz w:val="24"/>
        </w:rPr>
        <w:t>、《生产建设项目水土保持监测与评价标准》</w:t>
      </w:r>
      <w:r>
        <w:rPr>
          <w:rFonts w:hint="eastAsia" w:ascii="Times New Roman" w:hAnsi="Times New Roman" w:eastAsia="仿宋_GB2312" w:cs="Times New Roman"/>
          <w:sz w:val="24"/>
        </w:rPr>
        <w:t>（</w:t>
      </w:r>
      <w:r>
        <w:rPr>
          <w:rFonts w:ascii="Times New Roman" w:hAnsi="Times New Roman" w:eastAsia="仿宋_GB2312" w:cs="Times New Roman"/>
          <w:sz w:val="24"/>
        </w:rPr>
        <w:t>GB/T51240-2018）；</w:t>
      </w:r>
    </w:p>
    <w:p>
      <w:pPr>
        <w:pStyle w:val="10"/>
        <w:spacing w:line="360" w:lineRule="auto"/>
        <w:ind w:firstLine="480" w:firstLineChars="200"/>
        <w:jc w:val="both"/>
        <w:rPr>
          <w:rFonts w:eastAsia="仿宋_GB2312"/>
        </w:rPr>
      </w:pPr>
      <w:r>
        <w:rPr>
          <w:rFonts w:hint="eastAsia" w:ascii="Times New Roman" w:hAnsi="Times New Roman" w:eastAsia="仿宋_GB2312" w:cs="Times New Roman"/>
        </w:rPr>
        <w:t>9、</w:t>
      </w:r>
      <w:r>
        <w:rPr>
          <w:rFonts w:ascii="Times New Roman" w:hAnsi="Times New Roman" w:eastAsia="仿宋_GB2312" w:cs="Times New Roman"/>
        </w:rPr>
        <w:t>《</w:t>
      </w:r>
      <w:r>
        <w:rPr>
          <w:rFonts w:hint="eastAsia" w:ascii="Times New Roman" w:hAnsi="Times New Roman" w:eastAsia="仿宋_GB2312" w:cs="Times New Roman"/>
        </w:rPr>
        <w:t>生产建设项目土壤流失量测算导则</w:t>
      </w:r>
      <w:r>
        <w:rPr>
          <w:rFonts w:ascii="Times New Roman" w:hAnsi="Times New Roman" w:eastAsia="仿宋_GB2312" w:cs="Times New Roman"/>
        </w:rPr>
        <w:t>》</w:t>
      </w:r>
      <w:r>
        <w:rPr>
          <w:rFonts w:hint="eastAsia" w:ascii="Times New Roman" w:hAnsi="Times New Roman" w:eastAsia="仿宋_GB2312" w:cs="Times New Roman"/>
        </w:rPr>
        <w:t>（SL773-2018</w:t>
      </w:r>
      <w:r>
        <w:rPr>
          <w:rFonts w:ascii="Times New Roman" w:hAnsi="Times New Roman" w:eastAsia="仿宋_GB2312" w:cs="Times New Roman"/>
        </w:rPr>
        <w:t>）</w:t>
      </w:r>
      <w:r>
        <w:rPr>
          <w:rFonts w:hint="eastAsia" w:ascii="Times New Roman" w:hAnsi="Times New Roman" w:eastAsia="仿宋_GB2312" w:cs="Times New Roman"/>
        </w:rPr>
        <w:t>；</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10</w:t>
      </w:r>
      <w:r>
        <w:rPr>
          <w:rFonts w:ascii="Times New Roman" w:hAnsi="Times New Roman" w:eastAsia="仿宋_GB2312" w:cs="Times New Roman"/>
          <w:sz w:val="24"/>
        </w:rPr>
        <w:t>、《水土保持工程调查与勘测标准》（GB/T51297-2018）；</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11</w:t>
      </w:r>
      <w:r>
        <w:rPr>
          <w:rFonts w:ascii="Times New Roman" w:hAnsi="Times New Roman" w:eastAsia="仿宋_GB2312" w:cs="Times New Roman"/>
          <w:sz w:val="24"/>
        </w:rPr>
        <w:t>、《水利水电工程制图标准：水土保持图》（SL73.6—2015）；</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12</w:t>
      </w:r>
      <w:r>
        <w:rPr>
          <w:rFonts w:ascii="Times New Roman" w:hAnsi="Times New Roman" w:eastAsia="仿宋_GB2312" w:cs="Times New Roman"/>
          <w:sz w:val="24"/>
        </w:rPr>
        <w:t>、《</w:t>
      </w:r>
      <w:r>
        <w:rPr>
          <w:rFonts w:hint="eastAsia" w:ascii="Times New Roman" w:hAnsi="Times New Roman" w:eastAsia="仿宋_GB2312" w:cs="Times New Roman"/>
          <w:sz w:val="24"/>
        </w:rPr>
        <w:t>生产建设项目水土保持监测规程</w:t>
      </w:r>
      <w:r>
        <w:rPr>
          <w:rFonts w:ascii="Times New Roman" w:hAnsi="Times New Roman" w:eastAsia="仿宋_GB2312" w:cs="Times New Roman"/>
          <w:sz w:val="24"/>
        </w:rPr>
        <w:t>》（</w:t>
      </w:r>
      <w:r>
        <w:rPr>
          <w:rFonts w:hint="eastAsia" w:ascii="Times New Roman" w:hAnsi="Times New Roman" w:eastAsia="仿宋_GB2312" w:cs="Times New Roman"/>
          <w:sz w:val="24"/>
        </w:rPr>
        <w:t>DB34/T34552019</w:t>
      </w:r>
      <w:r>
        <w:rPr>
          <w:rFonts w:ascii="Times New Roman" w:hAnsi="Times New Roman" w:eastAsia="仿宋_GB2312" w:cs="Times New Roman"/>
          <w:sz w:val="24"/>
        </w:rPr>
        <w:t>）；</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13、</w:t>
      </w:r>
      <w:r>
        <w:rPr>
          <w:rFonts w:ascii="Times New Roman" w:hAnsi="Times New Roman" w:eastAsia="仿宋_GB2312" w:cs="Times New Roman"/>
          <w:sz w:val="24"/>
        </w:rPr>
        <w:t>《安徽省水土保持规划（2016-2030年）》（2016年10月）；</w:t>
      </w:r>
    </w:p>
    <w:p>
      <w:pPr>
        <w:spacing w:line="360" w:lineRule="auto"/>
        <w:ind w:firstLine="480" w:firstLineChars="200"/>
        <w:jc w:val="both"/>
        <w:rPr>
          <w:rFonts w:hint="eastAsia" w:ascii="Times New Roman" w:hAnsi="Times New Roman" w:eastAsia="仿宋_GB2312" w:cs="Times New Roman"/>
          <w:sz w:val="24"/>
          <w:lang w:val="en-US" w:eastAsia="zh-CN"/>
        </w:rPr>
      </w:pPr>
      <w:r>
        <w:rPr>
          <w:rFonts w:hint="eastAsia" w:ascii="Times New Roman" w:hAnsi="Times New Roman" w:eastAsia="仿宋_GB2312" w:cs="Times New Roman"/>
          <w:sz w:val="24"/>
        </w:rPr>
        <w:t>14、《中广核霍邱县高塘镇49MW光伏发电项目</w:t>
      </w:r>
      <w:r>
        <w:rPr>
          <w:rFonts w:hint="eastAsia" w:cs="Times New Roman"/>
          <w:sz w:val="24"/>
          <w:szCs w:val="22"/>
          <w:lang w:val="en-US" w:eastAsia="zh-CN"/>
        </w:rPr>
        <w:t>110KV送出线路工程初步设计说明书</w:t>
      </w:r>
      <w:r>
        <w:rPr>
          <w:rFonts w:hint="eastAsia" w:ascii="Times New Roman" w:hAnsi="Times New Roman" w:eastAsia="仿宋_GB2312" w:cs="Times New Roman"/>
          <w:sz w:val="24"/>
        </w:rPr>
        <w:t>》</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lang w:val="en-US" w:eastAsia="zh-CN"/>
        </w:rPr>
        <w:t>中国能源建设集团</w:t>
      </w:r>
      <w:r>
        <w:rPr>
          <w:rFonts w:hint="eastAsia" w:cs="Times New Roman"/>
          <w:sz w:val="24"/>
          <w:szCs w:val="22"/>
          <w:lang w:val="en-US" w:eastAsia="zh-CN"/>
        </w:rPr>
        <w:t>安徽华电工程咨询设计有限公司</w:t>
      </w:r>
      <w:r>
        <w:rPr>
          <w:rFonts w:hint="eastAsia" w:ascii="Times New Roman" w:hAnsi="Times New Roman" w:eastAsia="仿宋_GB2312" w:cs="Times New Roman"/>
          <w:sz w:val="24"/>
          <w:lang w:val="en-US" w:eastAsia="zh-CN"/>
        </w:rPr>
        <w:t>，2020年</w:t>
      </w:r>
      <w:r>
        <w:rPr>
          <w:rFonts w:hint="eastAsia" w:cs="Times New Roman"/>
          <w:sz w:val="24"/>
          <w:lang w:val="en-US" w:eastAsia="zh-CN"/>
        </w:rPr>
        <w:t>8</w:t>
      </w:r>
      <w:r>
        <w:rPr>
          <w:rFonts w:hint="eastAsia" w:ascii="Times New Roman" w:hAnsi="Times New Roman" w:eastAsia="仿宋_GB2312" w:cs="Times New Roman"/>
          <w:sz w:val="24"/>
          <w:lang w:val="en-US" w:eastAsia="zh-CN"/>
        </w:rPr>
        <w:t>月</w:t>
      </w:r>
      <w:r>
        <w:rPr>
          <w:rFonts w:hint="eastAsia" w:ascii="Times New Roman" w:hAnsi="Times New Roman" w:eastAsia="仿宋_GB2312" w:cs="Times New Roman"/>
          <w:sz w:val="24"/>
          <w:lang w:eastAsia="zh-CN"/>
        </w:rPr>
        <w:t>）</w:t>
      </w:r>
      <w:r>
        <w:rPr>
          <w:rFonts w:hint="eastAsia" w:ascii="Times New Roman" w:hAnsi="Times New Roman" w:eastAsia="仿宋_GB2312" w:cs="Times New Roman"/>
          <w:sz w:val="24"/>
        </w:rPr>
        <w:t>；</w:t>
      </w:r>
      <w:r>
        <w:rPr>
          <w:rFonts w:hint="eastAsia" w:ascii="Times New Roman" w:hAnsi="Times New Roman" w:eastAsia="仿宋_GB2312" w:cs="Times New Roman"/>
          <w:sz w:val="24"/>
          <w:lang w:val="en-US" w:eastAsia="zh-CN"/>
        </w:rPr>
        <w:t xml:space="preserve"> </w:t>
      </w:r>
    </w:p>
    <w:p>
      <w:pPr>
        <w:spacing w:line="360" w:lineRule="auto"/>
        <w:ind w:firstLine="480" w:firstLineChars="200"/>
        <w:jc w:val="both"/>
        <w:rPr>
          <w:rFonts w:ascii="Times New Roman" w:hAnsi="Times New Roman" w:eastAsia="仿宋_GB2312" w:cs="Times New Roman"/>
          <w:sz w:val="24"/>
        </w:rPr>
      </w:pPr>
      <w:r>
        <w:rPr>
          <w:rFonts w:hint="eastAsia" w:ascii="Times New Roman" w:hAnsi="Times New Roman" w:eastAsia="仿宋_GB2312" w:cs="Times New Roman"/>
          <w:sz w:val="24"/>
        </w:rPr>
        <w:t>15、其他相关文件及资料。</w:t>
      </w:r>
    </w:p>
    <w:p>
      <w:pPr>
        <w:pStyle w:val="3"/>
        <w:numPr>
          <w:ilvl w:val="0"/>
          <w:numId w:val="0"/>
        </w:numPr>
        <w:rPr>
          <w:rFonts w:hint="eastAsia"/>
          <w:lang w:val="en-US" w:eastAsia="zh-CN"/>
        </w:rPr>
      </w:pPr>
      <w:bookmarkStart w:id="11" w:name="_Toc23895"/>
      <w:bookmarkStart w:id="12" w:name="_Toc4353"/>
      <w:bookmarkStart w:id="13" w:name="_Toc9351"/>
      <w:bookmarkStart w:id="14" w:name="_Toc29182931"/>
      <w:bookmarkStart w:id="15" w:name="_Toc39672208"/>
      <w:bookmarkStart w:id="16" w:name="_Toc6863"/>
      <w:bookmarkStart w:id="17" w:name="_Toc32432"/>
      <w:bookmarkStart w:id="18" w:name="_Toc32641"/>
      <w:bookmarkStart w:id="19" w:name="_Toc492"/>
      <w:bookmarkStart w:id="20" w:name="_Toc18958071"/>
      <w:bookmarkStart w:id="21" w:name="_Toc21447515"/>
      <w:r>
        <w:rPr>
          <w:rFonts w:hint="eastAsia"/>
          <w:lang w:val="en-US" w:eastAsia="zh-CN"/>
        </w:rPr>
        <w:t>3 设计水平年</w:t>
      </w:r>
      <w:bookmarkEnd w:id="11"/>
      <w:bookmarkEnd w:id="12"/>
      <w:bookmarkEnd w:id="13"/>
      <w:bookmarkEnd w:id="14"/>
      <w:bookmarkEnd w:id="15"/>
      <w:bookmarkEnd w:id="16"/>
      <w:bookmarkEnd w:id="17"/>
      <w:bookmarkEnd w:id="18"/>
      <w:bookmarkEnd w:id="19"/>
      <w:bookmarkEnd w:id="20"/>
      <w:bookmarkEnd w:id="21"/>
    </w:p>
    <w:p>
      <w:pPr>
        <w:widowControl/>
        <w:spacing w:line="360" w:lineRule="auto"/>
        <w:ind w:firstLine="480" w:firstLineChars="200"/>
        <w:jc w:val="both"/>
        <w:rPr>
          <w:rFonts w:ascii="Times New Roman" w:hAnsi="Times New Roman" w:eastAsia="仿宋_GB2312" w:cs="Times New Roman"/>
          <w:sz w:val="24"/>
        </w:rPr>
      </w:pPr>
      <w:r>
        <w:rPr>
          <w:rFonts w:ascii="Times New Roman" w:hAnsi="Times New Roman" w:eastAsia="仿宋_GB2312" w:cs="Times New Roman"/>
          <w:sz w:val="24"/>
        </w:rPr>
        <w:t>项目设计水平年应为主体工程完工后的当年或后一年。本工程</w:t>
      </w:r>
      <w:r>
        <w:rPr>
          <w:rFonts w:hint="eastAsia" w:ascii="Times New Roman" w:hAnsi="Times New Roman" w:eastAsia="仿宋_GB2312" w:cs="Times New Roman"/>
          <w:sz w:val="24"/>
        </w:rPr>
        <w:t>计划</w:t>
      </w:r>
      <w:r>
        <w:rPr>
          <w:rFonts w:ascii="Times New Roman" w:hAnsi="Times New Roman" w:eastAsia="仿宋_GB2312" w:cs="Times New Roman"/>
          <w:sz w:val="24"/>
        </w:rPr>
        <w:t>于20</w:t>
      </w:r>
      <w:r>
        <w:rPr>
          <w:rFonts w:hint="eastAsia" w:ascii="Times New Roman" w:hAnsi="Times New Roman" w:eastAsia="仿宋_GB2312" w:cs="Times New Roman"/>
          <w:sz w:val="24"/>
        </w:rPr>
        <w:t>20</w:t>
      </w:r>
      <w:r>
        <w:rPr>
          <w:rFonts w:ascii="Times New Roman" w:hAnsi="Times New Roman" w:eastAsia="仿宋_GB2312" w:cs="Times New Roman"/>
          <w:sz w:val="24"/>
        </w:rPr>
        <w:t>年</w:t>
      </w:r>
      <w:r>
        <w:rPr>
          <w:rFonts w:hint="eastAsia" w:cs="Times New Roman"/>
          <w:sz w:val="24"/>
          <w:lang w:val="en-US" w:eastAsia="zh-CN"/>
        </w:rPr>
        <w:t>11</w:t>
      </w:r>
      <w:r>
        <w:rPr>
          <w:rFonts w:ascii="Times New Roman" w:hAnsi="Times New Roman" w:eastAsia="仿宋_GB2312" w:cs="Times New Roman"/>
          <w:sz w:val="24"/>
        </w:rPr>
        <w:t>月开工建设，于202</w:t>
      </w:r>
      <w:r>
        <w:rPr>
          <w:rFonts w:hint="eastAsia" w:ascii="Times New Roman" w:hAnsi="Times New Roman" w:eastAsia="仿宋_GB2312" w:cs="Times New Roman"/>
          <w:sz w:val="24"/>
        </w:rPr>
        <w:t>0</w:t>
      </w:r>
      <w:r>
        <w:rPr>
          <w:rFonts w:ascii="Times New Roman" w:hAnsi="Times New Roman" w:eastAsia="仿宋_GB2312" w:cs="Times New Roman"/>
          <w:sz w:val="24"/>
        </w:rPr>
        <w:t>年</w:t>
      </w:r>
      <w:r>
        <w:rPr>
          <w:rFonts w:hint="eastAsia" w:ascii="Times New Roman" w:hAnsi="Times New Roman" w:eastAsia="仿宋_GB2312" w:cs="Times New Roman"/>
          <w:sz w:val="24"/>
        </w:rPr>
        <w:t>1</w:t>
      </w:r>
      <w:r>
        <w:rPr>
          <w:rFonts w:hint="eastAsia" w:cs="Times New Roman"/>
          <w:sz w:val="24"/>
          <w:lang w:val="en-US" w:eastAsia="zh-CN"/>
        </w:rPr>
        <w:t>2</w:t>
      </w:r>
      <w:r>
        <w:rPr>
          <w:rFonts w:ascii="Times New Roman" w:hAnsi="Times New Roman" w:eastAsia="仿宋_GB2312" w:cs="Times New Roman"/>
          <w:sz w:val="24"/>
        </w:rPr>
        <w:t>月完工，总工期为个</w:t>
      </w:r>
      <w:r>
        <w:rPr>
          <w:rFonts w:hint="eastAsia" w:cs="Times New Roman"/>
          <w:sz w:val="24"/>
          <w:lang w:val="en-US" w:eastAsia="zh-CN"/>
        </w:rPr>
        <w:t>2</w:t>
      </w:r>
      <w:r>
        <w:rPr>
          <w:rFonts w:ascii="Times New Roman" w:hAnsi="Times New Roman" w:eastAsia="仿宋_GB2312" w:cs="Times New Roman"/>
          <w:sz w:val="24"/>
        </w:rPr>
        <w:t>月，因此确定本方案设计水平年为202</w:t>
      </w:r>
      <w:r>
        <w:rPr>
          <w:rFonts w:hint="eastAsia" w:ascii="Times New Roman" w:hAnsi="Times New Roman" w:eastAsia="仿宋_GB2312" w:cs="Times New Roman"/>
          <w:sz w:val="24"/>
        </w:rPr>
        <w:t>1</w:t>
      </w:r>
      <w:r>
        <w:rPr>
          <w:rFonts w:ascii="Times New Roman" w:hAnsi="Times New Roman" w:eastAsia="仿宋_GB2312" w:cs="Times New Roman"/>
          <w:sz w:val="24"/>
        </w:rPr>
        <w:t>年。</w:t>
      </w:r>
    </w:p>
    <w:p>
      <w:pPr>
        <w:pStyle w:val="3"/>
        <w:numPr>
          <w:ilvl w:val="0"/>
          <w:numId w:val="0"/>
        </w:numPr>
        <w:rPr>
          <w:rFonts w:hint="eastAsia"/>
          <w:lang w:val="en-US" w:eastAsia="zh-CN"/>
        </w:rPr>
      </w:pPr>
      <w:bookmarkStart w:id="22" w:name="_Toc14179080"/>
      <w:bookmarkStart w:id="23" w:name="_Toc27207"/>
      <w:bookmarkStart w:id="24" w:name="_Toc29182932"/>
      <w:bookmarkStart w:id="25" w:name="_Toc15536"/>
      <w:bookmarkStart w:id="26" w:name="_Toc22166"/>
      <w:bookmarkStart w:id="27" w:name="_Toc15589"/>
      <w:bookmarkStart w:id="28" w:name="_Toc31681"/>
      <w:bookmarkStart w:id="29" w:name="_Toc18958072"/>
      <w:bookmarkStart w:id="30" w:name="_Toc6735"/>
      <w:bookmarkStart w:id="31" w:name="_Toc9764984"/>
      <w:bookmarkStart w:id="32" w:name="_Toc6061"/>
      <w:bookmarkStart w:id="33" w:name="_Toc21447516"/>
      <w:bookmarkStart w:id="34" w:name="_Toc39672209"/>
      <w:r>
        <w:rPr>
          <w:rFonts w:hint="eastAsia"/>
          <w:lang w:val="en-US" w:eastAsia="zh-CN"/>
        </w:rPr>
        <w:t>4 水土流失防治责任范围</w:t>
      </w:r>
      <w:bookmarkEnd w:id="22"/>
      <w:bookmarkEnd w:id="23"/>
      <w:bookmarkEnd w:id="24"/>
      <w:bookmarkEnd w:id="25"/>
      <w:bookmarkEnd w:id="26"/>
      <w:bookmarkEnd w:id="27"/>
      <w:bookmarkEnd w:id="28"/>
      <w:bookmarkEnd w:id="29"/>
      <w:bookmarkEnd w:id="30"/>
      <w:bookmarkEnd w:id="31"/>
      <w:bookmarkEnd w:id="32"/>
      <w:bookmarkEnd w:id="33"/>
      <w:bookmarkEnd w:id="34"/>
    </w:p>
    <w:p>
      <w:pPr>
        <w:widowControl/>
        <w:spacing w:line="360" w:lineRule="auto"/>
        <w:ind w:firstLine="480" w:firstLineChars="200"/>
        <w:jc w:val="left"/>
        <w:rPr>
          <w:rFonts w:ascii="Times New Roman" w:hAnsi="Times New Roman" w:eastAsia="仿宋_GB2312" w:cs="Times New Roman"/>
          <w:sz w:val="24"/>
        </w:rPr>
      </w:pPr>
      <w:r>
        <w:rPr>
          <w:rFonts w:ascii="Times New Roman" w:hAnsi="Times New Roman" w:eastAsia="仿宋_GB2312" w:cs="Times New Roman"/>
          <w:sz w:val="24"/>
        </w:rPr>
        <w:t>项目水土流失防治责任范围共</w:t>
      </w:r>
      <w:r>
        <w:rPr>
          <w:rFonts w:hint="eastAsia" w:cs="Times New Roman"/>
          <w:sz w:val="24"/>
          <w:lang w:val="en-US" w:eastAsia="zh-CN"/>
        </w:rPr>
        <w:t>2.88</w:t>
      </w:r>
      <w:r>
        <w:rPr>
          <w:rFonts w:ascii="Times New Roman" w:hAnsi="Times New Roman" w:eastAsia="仿宋_GB2312" w:cs="Times New Roman"/>
          <w:sz w:val="24"/>
        </w:rPr>
        <w:t>hm²，包含</w:t>
      </w:r>
      <w:r>
        <w:rPr>
          <w:rFonts w:hint="eastAsia" w:cs="Times New Roman"/>
          <w:sz w:val="24"/>
          <w:lang w:val="en-US" w:eastAsia="zh-CN"/>
        </w:rPr>
        <w:t>集电线路</w:t>
      </w:r>
      <w:r>
        <w:rPr>
          <w:rFonts w:ascii="Times New Roman" w:hAnsi="Times New Roman" w:eastAsia="仿宋_GB2312" w:cs="Times New Roman"/>
          <w:sz w:val="24"/>
        </w:rPr>
        <w:t>区、</w:t>
      </w:r>
      <w:r>
        <w:rPr>
          <w:rFonts w:hint="eastAsia" w:cs="Times New Roman"/>
          <w:sz w:val="24"/>
          <w:lang w:val="en-US" w:eastAsia="zh-CN"/>
        </w:rPr>
        <w:t>施工道路</w:t>
      </w:r>
      <w:r>
        <w:rPr>
          <w:rFonts w:hint="eastAsia" w:ascii="Times New Roman" w:hAnsi="Times New Roman" w:eastAsia="仿宋_GB2312" w:cs="Times New Roman"/>
          <w:sz w:val="24"/>
        </w:rPr>
        <w:t>区</w:t>
      </w:r>
      <w:r>
        <w:rPr>
          <w:rFonts w:ascii="Times New Roman" w:hAnsi="Times New Roman" w:eastAsia="仿宋_GB2312" w:cs="Times New Roman"/>
          <w:sz w:val="24"/>
        </w:rPr>
        <w:t>、</w:t>
      </w:r>
      <w:r>
        <w:rPr>
          <w:rFonts w:hint="eastAsia" w:cs="Times New Roman"/>
          <w:sz w:val="24"/>
          <w:lang w:val="en-US" w:eastAsia="zh-CN"/>
        </w:rPr>
        <w:t>牵张场</w:t>
      </w:r>
      <w:r>
        <w:rPr>
          <w:rFonts w:ascii="Times New Roman" w:hAnsi="Times New Roman" w:eastAsia="仿宋_GB2312" w:cs="Times New Roman"/>
          <w:sz w:val="24"/>
        </w:rPr>
        <w:t>区</w:t>
      </w:r>
      <w:r>
        <w:rPr>
          <w:rFonts w:hint="eastAsia" w:ascii="Times New Roman" w:hAnsi="Times New Roman" w:eastAsia="仿宋_GB2312" w:cs="Times New Roman"/>
          <w:sz w:val="24"/>
          <w:lang w:val="en-US" w:eastAsia="zh-CN"/>
        </w:rPr>
        <w:t>3</w:t>
      </w:r>
      <w:r>
        <w:rPr>
          <w:rFonts w:ascii="Times New Roman" w:hAnsi="Times New Roman" w:eastAsia="仿宋_GB2312" w:cs="Times New Roman"/>
          <w:sz w:val="24"/>
        </w:rPr>
        <w:t>个分区。</w:t>
      </w:r>
      <w:r>
        <w:rPr>
          <w:rFonts w:hint="default" w:ascii="Times New Roman" w:hAnsi="Times New Roman" w:cs="Times New Roman"/>
          <w:lang w:eastAsia="zh-CN"/>
        </w:rPr>
        <w:t>其中永久占地</w:t>
      </w:r>
      <w:r>
        <w:rPr>
          <w:rFonts w:hint="eastAsia" w:cs="Times New Roman"/>
          <w:lang w:val="en-US" w:eastAsia="zh-CN"/>
        </w:rPr>
        <w:t>0.14</w:t>
      </w:r>
      <w:r>
        <w:rPr>
          <w:rFonts w:hint="default" w:ascii="Times New Roman" w:hAnsi="Times New Roman" w:cs="Times New Roman"/>
          <w:lang w:val="en-US" w:eastAsia="zh-CN"/>
        </w:rPr>
        <w:t>hm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，临时占地</w:t>
      </w:r>
      <w:r>
        <w:rPr>
          <w:rFonts w:hint="eastAsia" w:cs="Times New Roman"/>
          <w:lang w:val="en-US" w:eastAsia="zh-CN"/>
        </w:rPr>
        <w:t>2.74</w:t>
      </w:r>
      <w:r>
        <w:rPr>
          <w:rFonts w:hint="default" w:ascii="Times New Roman" w:hAnsi="Times New Roman" w:cs="Times New Roman"/>
          <w:lang w:val="en-US" w:eastAsia="zh-CN"/>
        </w:rPr>
        <w:t>hm</w:t>
      </w:r>
      <w:r>
        <w:rPr>
          <w:rFonts w:hint="default" w:ascii="Times New Roman" w:hAnsi="Times New Roman" w:cs="Times New Roman"/>
          <w:vertAlign w:val="superscript"/>
          <w:lang w:val="en-US" w:eastAsia="zh-CN"/>
        </w:rPr>
        <w:t>2</w:t>
      </w:r>
      <w:r>
        <w:rPr>
          <w:rFonts w:hint="default" w:ascii="Times New Roman" w:hAnsi="Times New Roman" w:cs="Times New Roman"/>
          <w:lang w:val="en-US" w:eastAsia="zh-CN"/>
        </w:rPr>
        <w:t>。</w:t>
      </w:r>
    </w:p>
    <w:p>
      <w:pPr>
        <w:pStyle w:val="3"/>
        <w:numPr>
          <w:ilvl w:val="0"/>
          <w:numId w:val="0"/>
        </w:numPr>
        <w:rPr>
          <w:rFonts w:hint="eastAsia"/>
          <w:lang w:val="en-US" w:eastAsia="zh-CN"/>
        </w:rPr>
      </w:pPr>
      <w:bookmarkStart w:id="35" w:name="_Toc16283"/>
      <w:bookmarkStart w:id="36" w:name="_Toc26077"/>
      <w:bookmarkStart w:id="37" w:name="_Toc18958073"/>
      <w:bookmarkStart w:id="38" w:name="_Toc20570"/>
      <w:bookmarkStart w:id="39" w:name="_Toc9764985"/>
      <w:bookmarkStart w:id="40" w:name="_Toc8394"/>
      <w:bookmarkStart w:id="41" w:name="_Toc21447517"/>
      <w:bookmarkStart w:id="42" w:name="_Toc14179081"/>
      <w:bookmarkStart w:id="43" w:name="_Toc8431"/>
      <w:bookmarkStart w:id="44" w:name="_Toc29182933"/>
      <w:bookmarkStart w:id="45" w:name="_Toc17650"/>
      <w:bookmarkStart w:id="46" w:name="_Toc39672210"/>
      <w:bookmarkStart w:id="47" w:name="_Toc1906"/>
      <w:r>
        <w:rPr>
          <w:rFonts w:hint="eastAsia"/>
          <w:lang w:val="en-US" w:eastAsia="zh-CN"/>
        </w:rPr>
        <w:t>5 水土流失防治目标</w:t>
      </w:r>
      <w:bookmarkEnd w:id="35"/>
      <w:bookmarkEnd w:id="36"/>
      <w:bookmarkEnd w:id="37"/>
      <w:bookmarkEnd w:id="38"/>
      <w:bookmarkEnd w:id="39"/>
      <w:bookmarkEnd w:id="40"/>
      <w:bookmarkEnd w:id="41"/>
      <w:bookmarkEnd w:id="42"/>
      <w:bookmarkEnd w:id="43"/>
      <w:bookmarkEnd w:id="44"/>
      <w:bookmarkEnd w:id="45"/>
      <w:bookmarkEnd w:id="46"/>
      <w:bookmarkEnd w:id="47"/>
    </w:p>
    <w:p>
      <w:pPr>
        <w:pStyle w:val="4"/>
        <w:rPr>
          <w:rFonts w:hint="eastAsia"/>
          <w:lang w:val="en-US" w:eastAsia="zh-CN"/>
        </w:rPr>
      </w:pPr>
      <w:r>
        <w:rPr>
          <w:rFonts w:hint="eastAsia"/>
          <w:lang w:val="en-US" w:eastAsia="zh-CN"/>
        </w:rPr>
        <w:t>5.1执行标准等级</w:t>
      </w:r>
    </w:p>
    <w:p>
      <w:pPr>
        <w:spacing w:line="360" w:lineRule="auto"/>
        <w:ind w:firstLine="480" w:firstLineChars="200"/>
        <w:jc w:val="both"/>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项目位于</w:t>
      </w:r>
      <w:r>
        <w:rPr>
          <w:rFonts w:hint="eastAsia" w:ascii="Times New Roman" w:hAnsi="Times New Roman" w:eastAsia="仿宋_GB2312" w:cs="Times New Roman"/>
          <w:kern w:val="0"/>
          <w:sz w:val="24"/>
          <w:szCs w:val="24"/>
        </w:rPr>
        <w:t>六安市霍邱县高塘镇</w:t>
      </w:r>
      <w:r>
        <w:rPr>
          <w:rFonts w:hint="eastAsia" w:cs="Times New Roman"/>
          <w:kern w:val="0"/>
          <w:sz w:val="24"/>
          <w:szCs w:val="24"/>
          <w:lang w:eastAsia="zh-CN"/>
        </w:rPr>
        <w:t>、</w:t>
      </w:r>
      <w:r>
        <w:rPr>
          <w:rFonts w:hint="eastAsia" w:cs="Times New Roman"/>
          <w:kern w:val="0"/>
          <w:sz w:val="24"/>
          <w:szCs w:val="24"/>
          <w:lang w:val="en-US" w:eastAsia="zh-CN"/>
        </w:rPr>
        <w:t>冯井镇、范桥镇</w:t>
      </w:r>
      <w:r>
        <w:rPr>
          <w:rFonts w:hint="eastAsia" w:ascii="Times New Roman" w:hAnsi="Times New Roman" w:eastAsia="仿宋_GB2312" w:cs="Times New Roman"/>
          <w:kern w:val="0"/>
          <w:sz w:val="24"/>
          <w:szCs w:val="24"/>
        </w:rPr>
        <w:t>内</w:t>
      </w:r>
      <w:r>
        <w:rPr>
          <w:rFonts w:ascii="Times New Roman" w:hAnsi="Times New Roman" w:eastAsia="仿宋_GB2312" w:cs="Times New Roman"/>
          <w:kern w:val="0"/>
          <w:sz w:val="24"/>
          <w:szCs w:val="24"/>
        </w:rPr>
        <w:t>，根据《全国水土保持规划（2016-2030年）》（国函〔2015〕160号）、《安徽省人民政府关于划定省级水土流失重点预防区和重点治理区的公告》（皖政秘〔2017〕94号），项目区不属于国家和安徽省划定的水土流失重点预防区和重点治理区。根据《安徽省水功能区划》、《安徽省主体功能区规划》等相关资料，项目区亦不涉及饮用水水源保护区、水功能一级区的保护区和保留区，自然保护区、世界文化和自然遗产地、风景名胜区、地质公园、森林公园、重要湿地等其他水土保持敏感区。项目位于</w:t>
      </w:r>
      <w:r>
        <w:rPr>
          <w:rFonts w:hint="eastAsia" w:ascii="Times New Roman" w:hAnsi="Times New Roman" w:eastAsia="仿宋_GB2312" w:cs="Times New Roman"/>
          <w:kern w:val="0"/>
          <w:sz w:val="24"/>
          <w:szCs w:val="24"/>
        </w:rPr>
        <w:t>六安市霍邱县高塘镇境内</w:t>
      </w:r>
      <w:r>
        <w:rPr>
          <w:rFonts w:ascii="Times New Roman" w:hAnsi="Times New Roman" w:eastAsia="仿宋_GB2312" w:cs="Times New Roman"/>
          <w:kern w:val="0"/>
          <w:sz w:val="24"/>
          <w:szCs w:val="24"/>
        </w:rPr>
        <w:t>，</w:t>
      </w:r>
      <w:r>
        <w:rPr>
          <w:rFonts w:hint="eastAsia" w:ascii="Times New Roman" w:hAnsi="Times New Roman" w:eastAsia="仿宋_GB2312" w:cs="Times New Roman"/>
          <w:kern w:val="0"/>
          <w:sz w:val="24"/>
          <w:szCs w:val="24"/>
        </w:rPr>
        <w:t>项目周边范围500米内有乡镇、居民点</w:t>
      </w:r>
      <w:r>
        <w:rPr>
          <w:rFonts w:ascii="Times New Roman" w:hAnsi="Times New Roman" w:eastAsia="仿宋_GB2312" w:cs="Times New Roman"/>
          <w:kern w:val="0"/>
          <w:sz w:val="24"/>
          <w:szCs w:val="24"/>
        </w:rPr>
        <w:t>，根据《生产建设项目水土流失防治标准》（GB/T5043</w:t>
      </w:r>
      <w:r>
        <w:rPr>
          <w:rFonts w:hint="eastAsia" w:ascii="Times New Roman" w:hAnsi="Times New Roman" w:eastAsia="仿宋_GB2312" w:cs="Times New Roman"/>
          <w:kern w:val="0"/>
          <w:sz w:val="24"/>
          <w:szCs w:val="24"/>
        </w:rPr>
        <w:t>4</w:t>
      </w:r>
      <w:r>
        <w:rPr>
          <w:rFonts w:ascii="Times New Roman" w:hAnsi="Times New Roman" w:eastAsia="仿宋_GB2312" w:cs="Times New Roman"/>
          <w:kern w:val="0"/>
          <w:sz w:val="24"/>
          <w:szCs w:val="24"/>
        </w:rPr>
        <w:t>-2018）的规定</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本项目</w:t>
      </w:r>
      <w:r>
        <w:rPr>
          <w:rFonts w:hint="eastAsia" w:ascii="Times New Roman" w:hAnsi="Times New Roman" w:eastAsia="仿宋_GB2312" w:cs="Times New Roman"/>
          <w:kern w:val="0"/>
          <w:sz w:val="24"/>
          <w:szCs w:val="24"/>
        </w:rPr>
        <w:t>执行南方红壤</w:t>
      </w:r>
      <w:r>
        <w:rPr>
          <w:rFonts w:ascii="Times New Roman" w:hAnsi="Times New Roman" w:eastAsia="仿宋_GB2312" w:cs="Times New Roman"/>
          <w:kern w:val="0"/>
          <w:sz w:val="24"/>
          <w:szCs w:val="24"/>
        </w:rPr>
        <w:t>区</w:t>
      </w:r>
      <w:r>
        <w:rPr>
          <w:rFonts w:hint="eastAsia" w:ascii="Times New Roman" w:hAnsi="Times New Roman" w:eastAsia="仿宋_GB2312" w:cs="Times New Roman"/>
          <w:kern w:val="0"/>
          <w:sz w:val="24"/>
          <w:szCs w:val="24"/>
        </w:rPr>
        <w:t>二</w:t>
      </w:r>
      <w:r>
        <w:rPr>
          <w:rFonts w:ascii="Times New Roman" w:hAnsi="Times New Roman" w:eastAsia="仿宋_GB2312" w:cs="Times New Roman"/>
          <w:kern w:val="0"/>
          <w:sz w:val="24"/>
          <w:szCs w:val="24"/>
        </w:rPr>
        <w:t>级标准。</w:t>
      </w:r>
    </w:p>
    <w:p>
      <w:pPr>
        <w:pStyle w:val="4"/>
        <w:rPr>
          <w:rFonts w:hint="eastAsia"/>
          <w:lang w:val="en-US" w:eastAsia="zh-CN"/>
        </w:rPr>
      </w:pPr>
      <w:r>
        <w:rPr>
          <w:rFonts w:hint="eastAsia"/>
          <w:lang w:val="en-US" w:eastAsia="zh-CN"/>
        </w:rPr>
        <w:t>5.2防治目标</w:t>
      </w:r>
    </w:p>
    <w:p>
      <w:pPr>
        <w:spacing w:line="360" w:lineRule="auto"/>
        <w:ind w:firstLine="482" w:firstLineChars="200"/>
        <w:jc w:val="left"/>
        <w:rPr>
          <w:rFonts w:ascii="Times New Roman" w:hAnsi="Times New Roman" w:eastAsia="仿宋_GB2312" w:cs="Times New Roman"/>
          <w:b/>
          <w:bCs/>
          <w:sz w:val="24"/>
          <w:szCs w:val="22"/>
        </w:rPr>
      </w:pPr>
      <w:r>
        <w:rPr>
          <w:rFonts w:ascii="Times New Roman" w:hAnsi="Times New Roman" w:eastAsia="仿宋_GB2312" w:cs="Times New Roman"/>
          <w:b/>
          <w:bCs/>
          <w:sz w:val="24"/>
          <w:szCs w:val="22"/>
        </w:rPr>
        <w:t>（1）基本目标</w:t>
      </w:r>
    </w:p>
    <w:p>
      <w:pPr>
        <w:spacing w:line="360" w:lineRule="auto"/>
        <w:ind w:firstLine="480" w:firstLineChars="200"/>
        <w:jc w:val="left"/>
        <w:rPr>
          <w:rFonts w:ascii="Times New Roman" w:hAnsi="Times New Roman" w:eastAsia="仿宋_GB2312" w:cs="Times New Roman"/>
          <w:sz w:val="24"/>
          <w:szCs w:val="22"/>
        </w:rPr>
      </w:pPr>
      <w:r>
        <w:rPr>
          <w:rFonts w:ascii="Times New Roman" w:hAnsi="Times New Roman" w:eastAsia="仿宋_GB2312" w:cs="Times New Roman"/>
          <w:sz w:val="24"/>
          <w:szCs w:val="22"/>
        </w:rPr>
        <w:t>本工程水土保持方案应达到以下水土流失防治的基本目标：</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1）项目建设范围内的新增水土流失应得到有效控制，原有水土流失得到治理；</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2）水土保持设施安全有效；</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3）水土资源、林草植被应得到最大限度的保护与恢复；</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4）水土流失治理度、土壤流失控制比、渣土防护率、表土保护率、林草植被恢复率、林草覆盖率等六项指标应符合现行国家标准《生产建设项目水土流失防治标准》（GB/T50434-2018）的规定。</w:t>
      </w:r>
    </w:p>
    <w:p>
      <w:pPr>
        <w:spacing w:line="360" w:lineRule="auto"/>
        <w:ind w:firstLine="482" w:firstLineChars="200"/>
        <w:jc w:val="both"/>
        <w:rPr>
          <w:rFonts w:ascii="Times New Roman" w:hAnsi="Times New Roman" w:eastAsia="仿宋_GB2312" w:cs="Times New Roman"/>
          <w:b/>
          <w:bCs/>
          <w:sz w:val="24"/>
          <w:szCs w:val="22"/>
        </w:rPr>
      </w:pPr>
      <w:r>
        <w:rPr>
          <w:rFonts w:ascii="Times New Roman" w:hAnsi="Times New Roman" w:eastAsia="仿宋_GB2312" w:cs="Times New Roman"/>
          <w:b/>
          <w:bCs/>
          <w:sz w:val="24"/>
          <w:szCs w:val="22"/>
        </w:rPr>
        <w:t>（2）目标修正</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根据《生产建设项目水土流失防治标准》（GB/T50434-2018）的有关规定，水土流失防治目标需根据地区干旱程度、土壤侵蚀强度、地形地貌、是否位于城区及行业标准要求等进行修正，具体如下：</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1）地区干旱程度：项目区属于湿润地区，水土流失治理度、林草植被恢复率以及林草覆盖率直接采用标准规定值。</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2）土壤侵蚀强度：项目区属于以</w:t>
      </w:r>
      <w:r>
        <w:rPr>
          <w:rFonts w:hint="eastAsia" w:ascii="Times New Roman" w:hAnsi="Times New Roman" w:eastAsia="仿宋_GB2312" w:cs="Times New Roman"/>
          <w:sz w:val="24"/>
          <w:szCs w:val="22"/>
        </w:rPr>
        <w:t>微度</w:t>
      </w:r>
      <w:r>
        <w:rPr>
          <w:rFonts w:ascii="Times New Roman" w:hAnsi="Times New Roman" w:eastAsia="仿宋_GB2312" w:cs="Times New Roman"/>
          <w:sz w:val="24"/>
          <w:szCs w:val="22"/>
        </w:rPr>
        <w:t>为主的南方红壤区，土壤流失控制比定为</w:t>
      </w:r>
      <w:r>
        <w:rPr>
          <w:rFonts w:hint="eastAsia" w:ascii="Times New Roman" w:hAnsi="Times New Roman" w:eastAsia="仿宋_GB2312" w:cs="Times New Roman"/>
          <w:sz w:val="24"/>
          <w:szCs w:val="22"/>
        </w:rPr>
        <w:t>1.</w:t>
      </w:r>
      <w:r>
        <w:rPr>
          <w:rFonts w:hint="eastAsia" w:ascii="Times New Roman" w:hAnsi="Times New Roman" w:eastAsia="仿宋_GB2312" w:cs="Times New Roman"/>
          <w:sz w:val="24"/>
          <w:szCs w:val="22"/>
          <w:lang w:val="en-US" w:eastAsia="zh-CN"/>
        </w:rPr>
        <w:t>2</w:t>
      </w:r>
      <w:r>
        <w:rPr>
          <w:rFonts w:ascii="Times New Roman" w:hAnsi="Times New Roman" w:eastAsia="仿宋_GB2312" w:cs="Times New Roman"/>
          <w:sz w:val="24"/>
          <w:szCs w:val="22"/>
        </w:rPr>
        <w:t>。</w:t>
      </w:r>
    </w:p>
    <w:p>
      <w:pPr>
        <w:spacing w:line="360" w:lineRule="auto"/>
        <w:ind w:firstLine="480" w:firstLineChars="200"/>
        <w:jc w:val="both"/>
        <w:rPr>
          <w:rFonts w:ascii="Times New Roman" w:hAnsi="Times New Roman" w:eastAsia="仿宋_GB2312" w:cs="Times New Roman"/>
          <w:sz w:val="24"/>
          <w:szCs w:val="22"/>
        </w:rPr>
      </w:pPr>
      <w:r>
        <w:rPr>
          <w:rFonts w:ascii="Times New Roman" w:hAnsi="Times New Roman" w:eastAsia="仿宋_GB2312" w:cs="Times New Roman"/>
          <w:sz w:val="24"/>
          <w:szCs w:val="22"/>
        </w:rPr>
        <w:t>3）地形地貌：项目区主要为</w:t>
      </w:r>
      <w:r>
        <w:rPr>
          <w:rFonts w:hint="eastAsia" w:ascii="Times New Roman" w:hAnsi="Times New Roman" w:eastAsia="仿宋_GB2312" w:cs="Times New Roman"/>
          <w:sz w:val="24"/>
          <w:szCs w:val="22"/>
        </w:rPr>
        <w:t>江淮丘陵</w:t>
      </w:r>
      <w:r>
        <w:rPr>
          <w:rFonts w:ascii="Times New Roman" w:hAnsi="Times New Roman" w:eastAsia="仿宋_GB2312" w:cs="Times New Roman"/>
          <w:sz w:val="24"/>
          <w:szCs w:val="22"/>
        </w:rPr>
        <w:t>区，渣土防护率直接采用标准规定值。</w:t>
      </w:r>
    </w:p>
    <w:p>
      <w:pPr>
        <w:spacing w:line="360" w:lineRule="auto"/>
        <w:ind w:firstLine="480" w:firstLineChars="200"/>
        <w:jc w:val="both"/>
        <w:rPr>
          <w:rFonts w:hint="eastAsia" w:ascii="Times New Roman" w:hAnsi="Times New Roman" w:eastAsia="仿宋_GB2312" w:cs="Times New Roman"/>
          <w:sz w:val="24"/>
          <w:szCs w:val="22"/>
        </w:rPr>
      </w:pPr>
      <w:r>
        <w:rPr>
          <w:rFonts w:ascii="Times New Roman" w:hAnsi="Times New Roman" w:eastAsia="仿宋_GB2312" w:cs="Times New Roman"/>
          <w:sz w:val="24"/>
          <w:szCs w:val="22"/>
        </w:rPr>
        <w:t>4）是否涉及城市区：项目</w:t>
      </w:r>
      <w:r>
        <w:rPr>
          <w:rFonts w:hint="eastAsia" w:ascii="Times New Roman" w:hAnsi="Times New Roman" w:eastAsia="仿宋_GB2312" w:cs="Times New Roman"/>
          <w:sz w:val="24"/>
          <w:szCs w:val="22"/>
        </w:rPr>
        <w:t>不涉及城市区</w:t>
      </w:r>
      <w:r>
        <w:rPr>
          <w:rFonts w:ascii="Times New Roman" w:hAnsi="Times New Roman" w:eastAsia="仿宋_GB2312" w:cs="Times New Roman"/>
          <w:sz w:val="24"/>
          <w:szCs w:val="22"/>
        </w:rPr>
        <w:t>，渣土防护率</w:t>
      </w:r>
      <w:r>
        <w:rPr>
          <w:rFonts w:hint="eastAsia" w:ascii="Times New Roman" w:hAnsi="Times New Roman" w:eastAsia="仿宋_GB2312" w:cs="Times New Roman"/>
          <w:sz w:val="24"/>
          <w:szCs w:val="22"/>
        </w:rPr>
        <w:t>、林草覆盖率</w:t>
      </w:r>
      <w:r>
        <w:rPr>
          <w:rFonts w:ascii="Times New Roman" w:hAnsi="Times New Roman" w:eastAsia="仿宋_GB2312" w:cs="Times New Roman"/>
          <w:sz w:val="24"/>
          <w:szCs w:val="22"/>
        </w:rPr>
        <w:t>直接采用标准规定值</w:t>
      </w:r>
      <w:r>
        <w:rPr>
          <w:rFonts w:hint="eastAsia" w:ascii="Times New Roman" w:hAnsi="Times New Roman" w:eastAsia="仿宋_GB2312" w:cs="Times New Roman"/>
          <w:sz w:val="24"/>
          <w:szCs w:val="22"/>
        </w:rPr>
        <w:t>。</w:t>
      </w:r>
    </w:p>
    <w:p>
      <w:pPr>
        <w:spacing w:line="360" w:lineRule="auto"/>
        <w:ind w:firstLine="480" w:firstLineChars="200"/>
        <w:jc w:val="both"/>
        <w:rPr>
          <w:rFonts w:hint="default" w:ascii="Times New Roman" w:hAnsi="Times New Roman" w:eastAsia="仿宋_GB2312" w:cs="Times New Roman"/>
          <w:sz w:val="24"/>
          <w:szCs w:val="22"/>
          <w:lang w:val="en-US" w:eastAsia="zh-CN"/>
        </w:rPr>
      </w:pPr>
      <w:r>
        <w:rPr>
          <w:rFonts w:hint="eastAsia" w:ascii="Times New Roman" w:hAnsi="Times New Roman" w:eastAsia="仿宋_GB2312" w:cs="Times New Roman"/>
          <w:sz w:val="24"/>
          <w:szCs w:val="22"/>
          <w:lang w:val="en-US" w:eastAsia="zh-CN"/>
        </w:rPr>
        <w:t>5</w:t>
      </w:r>
      <w:r>
        <w:rPr>
          <w:rFonts w:ascii="Times New Roman" w:hAnsi="Times New Roman" w:eastAsia="仿宋_GB2312" w:cs="Times New Roman"/>
          <w:sz w:val="24"/>
          <w:szCs w:val="22"/>
        </w:rPr>
        <w:t>）</w:t>
      </w:r>
      <w:r>
        <w:rPr>
          <w:rFonts w:hint="eastAsia" w:ascii="Times New Roman" w:hAnsi="Times New Roman" w:eastAsia="仿宋_GB2312" w:cs="Times New Roman"/>
          <w:sz w:val="24"/>
          <w:szCs w:val="22"/>
          <w:lang w:val="en-US" w:eastAsia="zh-CN"/>
        </w:rPr>
        <w:t>工程特性：本项目</w:t>
      </w:r>
      <w:r>
        <w:rPr>
          <w:rFonts w:hint="eastAsia" w:cs="Times New Roman"/>
          <w:sz w:val="24"/>
          <w:szCs w:val="22"/>
          <w:lang w:val="en-US" w:eastAsia="zh-CN"/>
        </w:rPr>
        <w:t>光伏发电送出线路工程</w:t>
      </w:r>
      <w:r>
        <w:rPr>
          <w:rFonts w:hint="eastAsia" w:ascii="Times New Roman" w:hAnsi="Times New Roman" w:eastAsia="仿宋_GB2312" w:cs="Times New Roman"/>
          <w:sz w:val="24"/>
          <w:szCs w:val="22"/>
          <w:lang w:val="en-US" w:eastAsia="zh-CN"/>
        </w:rPr>
        <w:t>项目，占地基本为耕地，恢复</w:t>
      </w:r>
      <w:r>
        <w:rPr>
          <w:rFonts w:ascii="Times New Roman" w:hAnsi="Times New Roman" w:eastAsia="仿宋_GB2312" w:cs="Times New Roman"/>
          <w:sz w:val="24"/>
          <w:szCs w:val="22"/>
        </w:rPr>
        <w:t>施工结束后依然维持原地貌种植</w:t>
      </w:r>
      <w:r>
        <w:rPr>
          <w:rFonts w:hint="eastAsia" w:ascii="Times New Roman" w:hAnsi="Times New Roman" w:eastAsia="仿宋_GB2312" w:cs="Times New Roman"/>
          <w:sz w:val="24"/>
          <w:szCs w:val="22"/>
          <w:lang w:eastAsia="zh-CN"/>
        </w:rPr>
        <w:t>，</w:t>
      </w:r>
      <w:r>
        <w:rPr>
          <w:rFonts w:hint="eastAsia" w:ascii="Times New Roman" w:hAnsi="Times New Roman" w:eastAsia="仿宋_GB2312" w:cs="Times New Roman"/>
          <w:sz w:val="24"/>
          <w:szCs w:val="22"/>
          <w:lang w:val="en-US" w:eastAsia="zh-CN"/>
        </w:rPr>
        <w:t>林草覆盖率修正为</w:t>
      </w:r>
      <w:r>
        <w:rPr>
          <w:rFonts w:hint="eastAsia" w:cs="Times New Roman"/>
          <w:sz w:val="24"/>
          <w:szCs w:val="22"/>
          <w:lang w:val="en-US" w:eastAsia="zh-CN"/>
        </w:rPr>
        <w:t>3</w:t>
      </w:r>
      <w:r>
        <w:rPr>
          <w:rFonts w:hint="eastAsia" w:ascii="Times New Roman" w:hAnsi="Times New Roman" w:eastAsia="仿宋_GB2312" w:cs="Times New Roman"/>
          <w:sz w:val="24"/>
          <w:szCs w:val="22"/>
          <w:lang w:val="en-US" w:eastAsia="zh-CN"/>
        </w:rPr>
        <w:t>%。</w:t>
      </w:r>
    </w:p>
    <w:p>
      <w:pPr>
        <w:spacing w:line="360" w:lineRule="auto"/>
        <w:ind w:firstLine="480" w:firstLineChars="200"/>
        <w:jc w:val="left"/>
        <w:rPr>
          <w:rFonts w:ascii="Times New Roman" w:hAnsi="Times New Roman" w:eastAsia="仿宋_GB2312" w:cs="Times New Roman"/>
          <w:sz w:val="24"/>
          <w:szCs w:val="22"/>
        </w:rPr>
      </w:pPr>
      <w:r>
        <w:rPr>
          <w:rFonts w:ascii="Times New Roman" w:hAnsi="Times New Roman" w:eastAsia="仿宋_GB2312" w:cs="Times New Roman"/>
          <w:sz w:val="24"/>
          <w:szCs w:val="22"/>
        </w:rPr>
        <w:t>按以上原则修正后的水土流失防治标准指标值见表</w:t>
      </w:r>
      <w:r>
        <w:rPr>
          <w:rFonts w:hint="eastAsia" w:cs="Times New Roman"/>
          <w:sz w:val="24"/>
          <w:szCs w:val="22"/>
          <w:lang w:val="en-US" w:eastAsia="zh-CN"/>
        </w:rPr>
        <w:t>5</w:t>
      </w:r>
      <w:r>
        <w:rPr>
          <w:rFonts w:ascii="Times New Roman" w:hAnsi="Times New Roman" w:eastAsia="仿宋_GB2312" w:cs="Times New Roman"/>
          <w:sz w:val="24"/>
          <w:szCs w:val="22"/>
        </w:rPr>
        <w:t>-1。</w:t>
      </w:r>
    </w:p>
    <w:p>
      <w:pPr>
        <w:spacing w:line="240" w:lineRule="auto"/>
        <w:ind w:firstLine="0" w:firstLineChars="0"/>
        <w:jc w:val="center"/>
        <w:rPr>
          <w:rFonts w:ascii="Times New Roman" w:hAnsi="Times New Roman" w:eastAsia="仿宋_GB2312" w:cs="Times New Roman"/>
          <w:b/>
          <w:bCs/>
          <w:kern w:val="28"/>
          <w:sz w:val="21"/>
          <w:szCs w:val="32"/>
        </w:rPr>
      </w:pPr>
      <w:r>
        <w:rPr>
          <w:rFonts w:ascii="Times New Roman" w:hAnsi="Times New Roman" w:eastAsia="仿宋_GB2312" w:cs="Times New Roman"/>
          <w:b/>
          <w:bCs/>
          <w:kern w:val="28"/>
          <w:sz w:val="21"/>
          <w:szCs w:val="32"/>
        </w:rPr>
        <w:t>表</w:t>
      </w:r>
      <w:r>
        <w:rPr>
          <w:rFonts w:hint="eastAsia" w:cs="Times New Roman"/>
          <w:b/>
          <w:bCs/>
          <w:kern w:val="28"/>
          <w:sz w:val="21"/>
          <w:szCs w:val="32"/>
          <w:lang w:val="en-US" w:eastAsia="zh-CN"/>
        </w:rPr>
        <w:t>5</w:t>
      </w:r>
      <w:r>
        <w:rPr>
          <w:rFonts w:ascii="Times New Roman" w:hAnsi="Times New Roman" w:eastAsia="仿宋_GB2312" w:cs="Times New Roman"/>
          <w:b/>
          <w:bCs/>
          <w:kern w:val="28"/>
          <w:sz w:val="21"/>
          <w:szCs w:val="32"/>
        </w:rPr>
        <w:t>-1  本工程水土流失防治标准指标表</w:t>
      </w:r>
    </w:p>
    <w:tbl>
      <w:tblPr>
        <w:tblStyle w:val="15"/>
        <w:tblW w:w="5117"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86"/>
        <w:gridCol w:w="948"/>
        <w:gridCol w:w="948"/>
        <w:gridCol w:w="1083"/>
        <w:gridCol w:w="1082"/>
        <w:gridCol w:w="945"/>
        <w:gridCol w:w="810"/>
        <w:gridCol w:w="808"/>
        <w:gridCol w:w="91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vMerge w:val="restar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防治目标</w:t>
            </w:r>
          </w:p>
        </w:tc>
        <w:tc>
          <w:tcPr>
            <w:tcW w:w="1086" w:type="pct"/>
            <w:gridSpan w:val="2"/>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hint="eastAsia" w:ascii="Times New Roman" w:hAnsi="Times New Roman" w:eastAsia="仿宋_GB2312" w:cs="Times New Roman"/>
                <w:b/>
                <w:kern w:val="0"/>
                <w:sz w:val="21"/>
                <w:szCs w:val="21"/>
                <w:lang w:val="en-US" w:eastAsia="zh-CN"/>
              </w:rPr>
              <w:t>二</w:t>
            </w:r>
            <w:r>
              <w:rPr>
                <w:rFonts w:ascii="Times New Roman" w:hAnsi="Times New Roman" w:eastAsia="仿宋_GB2312" w:cs="Times New Roman"/>
                <w:b/>
                <w:kern w:val="0"/>
                <w:sz w:val="21"/>
                <w:szCs w:val="21"/>
              </w:rPr>
              <w:t>级标准</w:t>
            </w:r>
          </w:p>
        </w:tc>
        <w:tc>
          <w:tcPr>
            <w:tcW w:w="620" w:type="pct"/>
            <w:vMerge w:val="restar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按地区干旱程度修正</w:t>
            </w:r>
          </w:p>
        </w:tc>
        <w:tc>
          <w:tcPr>
            <w:tcW w:w="620" w:type="pct"/>
            <w:vMerge w:val="restar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按土壤侵蚀强度修正</w:t>
            </w:r>
          </w:p>
        </w:tc>
        <w:tc>
          <w:tcPr>
            <w:tcW w:w="541" w:type="pct"/>
            <w:vMerge w:val="restar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按地形地貌修正</w:t>
            </w:r>
          </w:p>
        </w:tc>
        <w:tc>
          <w:tcPr>
            <w:tcW w:w="464" w:type="pct"/>
            <w:vMerge w:val="restart"/>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按工程特性修正</w:t>
            </w:r>
          </w:p>
        </w:tc>
        <w:tc>
          <w:tcPr>
            <w:tcW w:w="986" w:type="pct"/>
            <w:gridSpan w:val="2"/>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采用标准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vMerge w:val="continue"/>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施工期</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设计水平年</w:t>
            </w:r>
          </w:p>
        </w:tc>
        <w:tc>
          <w:tcPr>
            <w:tcW w:w="620" w:type="pct"/>
            <w:vMerge w:val="continue"/>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p>
        </w:tc>
        <w:tc>
          <w:tcPr>
            <w:tcW w:w="620" w:type="pct"/>
            <w:vMerge w:val="continue"/>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p>
        </w:tc>
        <w:tc>
          <w:tcPr>
            <w:tcW w:w="541" w:type="pct"/>
            <w:vMerge w:val="continue"/>
            <w:noWrap/>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p>
        </w:tc>
        <w:tc>
          <w:tcPr>
            <w:tcW w:w="464" w:type="pct"/>
            <w:vMerge w:val="continue"/>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施工期</w:t>
            </w:r>
          </w:p>
        </w:tc>
        <w:tc>
          <w:tcPr>
            <w:tcW w:w="523" w:type="pct"/>
            <w:vAlign w:val="center"/>
          </w:tcPr>
          <w:p>
            <w:pPr>
              <w:widowControl/>
              <w:adjustRightInd w:val="0"/>
              <w:snapToGrid w:val="0"/>
              <w:spacing w:line="240" w:lineRule="auto"/>
              <w:ind w:firstLine="0" w:firstLineChars="0"/>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设计水平年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水土流失治理度（％）</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95</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2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土壤流失控制比</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0.85</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heme="minorHAnsi" w:hAnsiTheme="minorHAnsi" w:eastAsiaTheme="minorEastAsia"/>
                <w:sz w:val="21"/>
                <w:szCs w:val="24"/>
              </w:rPr>
              <w:t>≥</w:t>
            </w:r>
            <w:r>
              <w:rPr>
                <w:rFonts w:ascii="Times New Roman" w:hAnsi="Times New Roman" w:eastAsiaTheme="minorEastAsia"/>
                <w:sz w:val="21"/>
                <w:szCs w:val="24"/>
              </w:rPr>
              <w:t>1.0</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23" w:type="pct"/>
            <w:vAlign w:val="center"/>
          </w:tcPr>
          <w:p>
            <w:pPr>
              <w:widowControl/>
              <w:adjustRightInd w:val="0"/>
              <w:snapToGrid w:val="0"/>
              <w:spacing w:line="240" w:lineRule="auto"/>
              <w:ind w:firstLine="0" w:firstLineChars="0"/>
              <w:jc w:val="center"/>
              <w:rPr>
                <w:rFonts w:hint="eastAsia" w:ascii="Times New Roman" w:hAnsi="Times New Roman" w:eastAsia="仿宋_GB2312" w:cs="Times New Roman"/>
                <w:kern w:val="0"/>
                <w:sz w:val="21"/>
                <w:szCs w:val="21"/>
                <w:lang w:eastAsia="zh-CN"/>
              </w:rPr>
            </w:pPr>
            <w:r>
              <w:rPr>
                <w:rFonts w:hint="eastAsia" w:ascii="Times New Roman" w:hAnsi="Times New Roman" w:eastAsia="仿宋_GB2312" w:cs="Times New Roman"/>
                <w:kern w:val="0"/>
                <w:sz w:val="21"/>
                <w:szCs w:val="21"/>
              </w:rPr>
              <w:t>1.</w:t>
            </w:r>
            <w:r>
              <w:rPr>
                <w:rFonts w:hint="eastAsia" w:ascii="Times New Roman" w:hAnsi="Times New Roman" w:eastAsia="仿宋_GB2312" w:cs="Times New Roman"/>
                <w:kern w:val="0"/>
                <w:sz w:val="21"/>
                <w:szCs w:val="21"/>
                <w:lang w:val="en-US" w:eastAsia="zh-CN"/>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渣土防护率（％）</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90</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95</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90</w:t>
            </w:r>
          </w:p>
        </w:tc>
        <w:tc>
          <w:tcPr>
            <w:tcW w:w="52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表土保护率（％）</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87</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87</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87</w:t>
            </w:r>
          </w:p>
        </w:tc>
        <w:tc>
          <w:tcPr>
            <w:tcW w:w="52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87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林草植被恢复率（％）</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95</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2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atLeast"/>
          <w:jc w:val="center"/>
        </w:trPr>
        <w:tc>
          <w:tcPr>
            <w:tcW w:w="679"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林草覆盖率（％）</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3"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22</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620"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41" w:type="pct"/>
            <w:noWrap/>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464" w:type="pc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3</w:t>
            </w:r>
          </w:p>
        </w:tc>
        <w:tc>
          <w:tcPr>
            <w:tcW w:w="463" w:type="pct"/>
            <w:vAlign w:val="center"/>
          </w:tcPr>
          <w:p>
            <w:pPr>
              <w:widowControl/>
              <w:adjustRightInd w:val="0"/>
              <w:snapToGrid w:val="0"/>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w:t>
            </w:r>
          </w:p>
        </w:tc>
        <w:tc>
          <w:tcPr>
            <w:tcW w:w="523" w:type="pct"/>
            <w:vAlign w:val="center"/>
          </w:tcPr>
          <w:p>
            <w:pPr>
              <w:widowControl/>
              <w:adjustRightInd w:val="0"/>
              <w:snapToGrid w:val="0"/>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3</w:t>
            </w:r>
          </w:p>
        </w:tc>
      </w:tr>
    </w:tbl>
    <w:p>
      <w:pPr>
        <w:pStyle w:val="3"/>
        <w:rPr>
          <w:rFonts w:hint="eastAsia"/>
        </w:rPr>
      </w:pPr>
      <w:bookmarkStart w:id="48" w:name="_Toc50731621"/>
      <w:r>
        <w:rPr>
          <w:rFonts w:hint="eastAsia"/>
          <w:lang w:val="en-US" w:eastAsia="zh-CN"/>
        </w:rPr>
        <w:t>6</w:t>
      </w:r>
      <w:r>
        <w:t xml:space="preserve"> </w:t>
      </w:r>
      <w:r>
        <w:rPr>
          <w:rFonts w:hint="eastAsia"/>
        </w:rPr>
        <w:t>水土保持评价</w:t>
      </w:r>
      <w:bookmarkEnd w:id="48"/>
    </w:p>
    <w:p>
      <w:pPr>
        <w:pStyle w:val="4"/>
      </w:pPr>
      <w:bookmarkStart w:id="49" w:name="_Toc50731622"/>
      <w:r>
        <w:rPr>
          <w:rFonts w:hint="eastAsia"/>
          <w:lang w:val="en-US" w:eastAsia="zh-CN"/>
        </w:rPr>
        <w:t>6</w:t>
      </w:r>
      <w:r>
        <w:t xml:space="preserve">.1 </w:t>
      </w:r>
      <w:r>
        <w:rPr>
          <w:rFonts w:hint="eastAsia"/>
        </w:rPr>
        <w:t>主体工程选址（线）评价</w:t>
      </w:r>
      <w:bookmarkEnd w:id="49"/>
    </w:p>
    <w:p>
      <w:pPr>
        <w:spacing w:line="360" w:lineRule="auto"/>
        <w:ind w:firstLine="480" w:firstLineChars="200"/>
        <w:rPr>
          <w:rFonts w:ascii="Times New Roman" w:hAnsi="Times New Roman" w:eastAsia="仿宋_GB2312" w:cs="Times New Roman"/>
          <w:sz w:val="24"/>
          <w:szCs w:val="24"/>
        </w:rPr>
      </w:pPr>
      <w:bookmarkStart w:id="50" w:name="_Toc50731623"/>
      <w:r>
        <w:rPr>
          <w:rFonts w:ascii="Times New Roman" w:hAnsi="Times New Roman" w:eastAsia="仿宋_GB2312" w:cs="Times New Roman"/>
          <w:sz w:val="24"/>
          <w:szCs w:val="24"/>
        </w:rPr>
        <w:t>根据《中华人民共和国水土保持法》、《安徽省实施&lt;中华人民共和国水土保持法&gt;办法》、《生产建设项目水土保持技术标准》（GB50433-2018）要求，本工程水土保持制约因素分析与评价主要包括《中华人民共和国水土保持法》对主体工程选址水土保持制约性因素逐条分析和评价，详见表</w:t>
      </w:r>
      <w:r>
        <w:rPr>
          <w:rFonts w:hint="eastAsia" w:cs="Times New Roman"/>
          <w:sz w:val="24"/>
          <w:szCs w:val="24"/>
          <w:lang w:val="en-US" w:eastAsia="zh-CN"/>
        </w:rPr>
        <w:t>6</w:t>
      </w:r>
      <w:r>
        <w:rPr>
          <w:rFonts w:ascii="Times New Roman" w:hAnsi="Times New Roman" w:eastAsia="仿宋_GB2312" w:cs="Times New Roman"/>
          <w:sz w:val="24"/>
          <w:szCs w:val="24"/>
        </w:rPr>
        <w:t>.1~</w:t>
      </w:r>
      <w:r>
        <w:rPr>
          <w:rFonts w:hint="eastAsia" w:cs="Times New Roman"/>
          <w:sz w:val="24"/>
          <w:szCs w:val="24"/>
          <w:lang w:val="en-US" w:eastAsia="zh-CN"/>
        </w:rPr>
        <w:t>6</w:t>
      </w:r>
      <w:r>
        <w:rPr>
          <w:rFonts w:ascii="Times New Roman" w:hAnsi="Times New Roman" w:eastAsia="仿宋_GB2312" w:cs="Times New Roman"/>
          <w:sz w:val="24"/>
          <w:szCs w:val="24"/>
        </w:rPr>
        <w:t>.3。</w:t>
      </w:r>
    </w:p>
    <w:p>
      <w:pPr>
        <w:numPr>
          <w:ilvl w:val="0"/>
          <w:numId w:val="5"/>
        </w:numPr>
        <w:spacing w:line="360" w:lineRule="auto"/>
        <w:ind w:firstLine="480" w:firstLineChars="200"/>
        <w:rPr>
          <w:rFonts w:ascii="Times New Roman" w:hAnsi="Times New Roman" w:eastAsia="仿宋_GB2312" w:cs="Times New Roman"/>
          <w:sz w:val="24"/>
          <w:szCs w:val="24"/>
        </w:rPr>
      </w:pPr>
      <w:bookmarkStart w:id="51" w:name="_Toc5629"/>
      <w:r>
        <w:rPr>
          <w:rFonts w:ascii="Times New Roman" w:hAnsi="Times New Roman" w:eastAsia="仿宋_GB2312" w:cs="Times New Roman"/>
          <w:sz w:val="24"/>
          <w:szCs w:val="24"/>
        </w:rPr>
        <w:t>根据《中华人民共和国水土保持法》涉及的制约性因素分析与评价</w:t>
      </w:r>
      <w:bookmarkEnd w:id="51"/>
    </w:p>
    <w:p>
      <w:pPr>
        <w:pStyle w:val="9"/>
        <w:widowControl w:val="0"/>
        <w:numPr>
          <w:numId w:val="0"/>
        </w:numPr>
        <w:spacing w:line="360" w:lineRule="auto"/>
        <w:jc w:val="both"/>
      </w:pPr>
    </w:p>
    <w:p>
      <w:pPr>
        <w:pStyle w:val="9"/>
        <w:widowControl w:val="0"/>
        <w:numPr>
          <w:numId w:val="0"/>
        </w:numPr>
        <w:spacing w:line="360" w:lineRule="auto"/>
        <w:jc w:val="both"/>
      </w:pPr>
    </w:p>
    <w:p>
      <w:pPr>
        <w:adjustRightInd w:val="0"/>
        <w:snapToGrid w:val="0"/>
        <w:spacing w:line="240" w:lineRule="auto"/>
        <w:ind w:firstLine="0" w:firstLineChars="0"/>
        <w:jc w:val="center"/>
        <w:rPr>
          <w:rFonts w:ascii="Times New Roman" w:hAnsi="Times New Roman" w:eastAsia="仿宋_GB2312" w:cs="Times New Roman"/>
          <w:b/>
          <w:kern w:val="0"/>
          <w:sz w:val="24"/>
          <w:szCs w:val="21"/>
        </w:rPr>
      </w:pPr>
      <w:r>
        <w:rPr>
          <w:rFonts w:ascii="Times New Roman" w:hAnsi="Times New Roman" w:eastAsia="仿宋_GB2312" w:cs="Times New Roman"/>
          <w:b/>
          <w:kern w:val="0"/>
          <w:sz w:val="24"/>
          <w:szCs w:val="21"/>
        </w:rPr>
        <w:t>表</w:t>
      </w:r>
      <w:r>
        <w:rPr>
          <w:rFonts w:hint="eastAsia" w:cs="Times New Roman"/>
          <w:b/>
          <w:kern w:val="0"/>
          <w:sz w:val="24"/>
          <w:szCs w:val="21"/>
          <w:lang w:val="en-US" w:eastAsia="zh-CN"/>
        </w:rPr>
        <w:t>6</w:t>
      </w:r>
      <w:r>
        <w:rPr>
          <w:rFonts w:ascii="Times New Roman" w:hAnsi="Times New Roman" w:eastAsia="仿宋_GB2312" w:cs="Times New Roman"/>
          <w:b/>
          <w:kern w:val="0"/>
          <w:sz w:val="24"/>
          <w:szCs w:val="21"/>
        </w:rPr>
        <w:t>.1《中华人民共和国水土保持法》规定的符合性评价</w:t>
      </w:r>
    </w:p>
    <w:tbl>
      <w:tblPr>
        <w:tblStyle w:val="15"/>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87"/>
        <w:gridCol w:w="5532"/>
        <w:gridCol w:w="1800"/>
        <w:gridCol w:w="70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1" w:hRule="atLeast"/>
        </w:trPr>
        <w:tc>
          <w:tcPr>
            <w:tcW w:w="0" w:type="auto"/>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序号</w:t>
            </w:r>
          </w:p>
        </w:tc>
        <w:tc>
          <w:tcPr>
            <w:tcW w:w="5532" w:type="dxa"/>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《水土保持法》规定</w:t>
            </w:r>
          </w:p>
        </w:tc>
        <w:tc>
          <w:tcPr>
            <w:tcW w:w="1800" w:type="dxa"/>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本工程</w:t>
            </w:r>
          </w:p>
        </w:tc>
        <w:tc>
          <w:tcPr>
            <w:tcW w:w="703" w:type="dxa"/>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评价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6" w:hRule="atLeast"/>
        </w:trPr>
        <w:tc>
          <w:tcPr>
            <w:tcW w:w="0" w:type="auto"/>
            <w:vAlign w:val="center"/>
          </w:tcPr>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w:t>
            </w:r>
          </w:p>
        </w:tc>
        <w:tc>
          <w:tcPr>
            <w:tcW w:w="5532" w:type="dxa"/>
            <w:vAlign w:val="center"/>
          </w:tcPr>
          <w:p>
            <w:pPr>
              <w:spacing w:line="240" w:lineRule="auto"/>
              <w:ind w:firstLine="0" w:firstLineChars="0"/>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第十八条 水土流失严重、生态脆弱的地区，应当限制或者禁止可能造成水土流失的生产建设活动，严格保护植物、沙壳、结皮、地衣等。</w:t>
            </w:r>
          </w:p>
        </w:tc>
        <w:tc>
          <w:tcPr>
            <w:tcW w:w="1800" w:type="dxa"/>
            <w:vAlign w:val="center"/>
          </w:tcPr>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项目区不属于水土流失严重、生态脆弱的地区。</w:t>
            </w:r>
          </w:p>
        </w:tc>
        <w:tc>
          <w:tcPr>
            <w:tcW w:w="703" w:type="dxa"/>
            <w:vAlign w:val="center"/>
          </w:tcPr>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满足</w:t>
            </w:r>
          </w:p>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2" w:hRule="atLeast"/>
        </w:trPr>
        <w:tc>
          <w:tcPr>
            <w:tcW w:w="0" w:type="auto"/>
            <w:vAlign w:val="center"/>
          </w:tcPr>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5532" w:type="dxa"/>
            <w:vAlign w:val="center"/>
          </w:tcPr>
          <w:p>
            <w:pPr>
              <w:spacing w:line="240" w:lineRule="auto"/>
              <w:ind w:firstLine="0" w:firstLineChars="0"/>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第二十四条 生产建设项目选址、选线应当避让水土流失重点预防区和重点治理区；无法避让的，应当提高防治标准，优化施工工艺，减少地表扰动和植被损坏范围，有效控制可能造成的水土流失。</w:t>
            </w:r>
          </w:p>
        </w:tc>
        <w:tc>
          <w:tcPr>
            <w:tcW w:w="1800" w:type="dxa"/>
            <w:vAlign w:val="center"/>
          </w:tcPr>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本工程所在地不属于水土流失重点防治区。</w:t>
            </w:r>
          </w:p>
        </w:tc>
        <w:tc>
          <w:tcPr>
            <w:tcW w:w="703" w:type="dxa"/>
            <w:vAlign w:val="center"/>
          </w:tcPr>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满足</w:t>
            </w:r>
          </w:p>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要求</w:t>
            </w:r>
          </w:p>
        </w:tc>
      </w:tr>
    </w:tbl>
    <w:p>
      <w:pPr>
        <w:snapToGrid w:val="0"/>
        <w:spacing w:line="360" w:lineRule="auto"/>
        <w:ind w:firstLine="200" w:firstLineChars="200"/>
        <w:jc w:val="center"/>
        <w:rPr>
          <w:rFonts w:ascii="Times New Roman" w:hAnsi="Times New Roman" w:eastAsia="仿宋" w:cs="Times New Roman"/>
          <w:kern w:val="44"/>
          <w:sz w:val="10"/>
          <w:szCs w:val="10"/>
          <w:lang w:bidi="en-US"/>
        </w:rPr>
      </w:pP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从上表可以看出，从《中华人民共和国水土保持法》规定的符合性规定对工程进行评价，本项目不涉及水土流失严重、生态脆弱的地区，不涉及水土流失重点预防区及重点治理区，不存在水土保持制约性因素。</w:t>
      </w:r>
    </w:p>
    <w:p>
      <w:pPr>
        <w:spacing w:line="360" w:lineRule="auto"/>
        <w:ind w:firstLine="480" w:firstLineChars="200"/>
        <w:rPr>
          <w:rFonts w:ascii="Times New Roman" w:hAnsi="Times New Roman" w:eastAsia="仿宋_GB2312" w:cs="Times New Roman"/>
          <w:sz w:val="24"/>
          <w:szCs w:val="24"/>
        </w:rPr>
      </w:pPr>
      <w:bookmarkStart w:id="52" w:name="_Toc3043"/>
      <w:r>
        <w:rPr>
          <w:rFonts w:ascii="Times New Roman" w:hAnsi="Times New Roman" w:eastAsia="仿宋_GB2312" w:cs="Times New Roman"/>
          <w:sz w:val="24"/>
          <w:szCs w:val="24"/>
        </w:rPr>
        <w:t>2）《安徽省实施&lt;中华人民共和国水土保持法&gt;办法》的特殊规定</w:t>
      </w:r>
      <w:bookmarkEnd w:id="52"/>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本工程是否满足《安徽省实施&lt;中华人民共和国水土保持法&gt;办法》的特殊规定分析与评价详见表</w:t>
      </w:r>
      <w:r>
        <w:rPr>
          <w:rFonts w:hint="eastAsia" w:cs="Times New Roman"/>
          <w:sz w:val="24"/>
          <w:szCs w:val="24"/>
          <w:lang w:val="en-US" w:eastAsia="zh-CN"/>
        </w:rPr>
        <w:t>6</w:t>
      </w:r>
      <w:r>
        <w:rPr>
          <w:rFonts w:ascii="Times New Roman" w:hAnsi="Times New Roman" w:eastAsia="仿宋_GB2312" w:cs="Times New Roman"/>
          <w:sz w:val="24"/>
          <w:szCs w:val="24"/>
        </w:rPr>
        <w:t>.2。</w:t>
      </w:r>
    </w:p>
    <w:p>
      <w:pPr>
        <w:adjustRightInd w:val="0"/>
        <w:snapToGrid w:val="0"/>
        <w:spacing w:line="240" w:lineRule="auto"/>
        <w:ind w:firstLine="0" w:firstLineChars="0"/>
        <w:jc w:val="center"/>
        <w:rPr>
          <w:rFonts w:ascii="Times New Roman" w:hAnsi="Times New Roman" w:eastAsia="仿宋_GB2312" w:cs="Times New Roman"/>
          <w:b/>
          <w:kern w:val="0"/>
          <w:sz w:val="24"/>
          <w:szCs w:val="21"/>
        </w:rPr>
      </w:pPr>
      <w:r>
        <w:rPr>
          <w:rFonts w:ascii="Times New Roman" w:hAnsi="Times New Roman" w:eastAsia="仿宋_GB2312" w:cs="Times New Roman"/>
          <w:b/>
          <w:kern w:val="0"/>
          <w:sz w:val="24"/>
          <w:szCs w:val="21"/>
        </w:rPr>
        <w:t>表</w:t>
      </w:r>
      <w:r>
        <w:rPr>
          <w:rFonts w:hint="eastAsia" w:cs="Times New Roman"/>
          <w:b/>
          <w:kern w:val="0"/>
          <w:sz w:val="24"/>
          <w:szCs w:val="21"/>
          <w:lang w:val="en-US" w:eastAsia="zh-CN"/>
        </w:rPr>
        <w:t>6</w:t>
      </w:r>
      <w:r>
        <w:rPr>
          <w:rFonts w:ascii="Times New Roman" w:hAnsi="Times New Roman" w:eastAsia="仿宋_GB2312" w:cs="Times New Roman"/>
          <w:b/>
          <w:kern w:val="0"/>
          <w:sz w:val="24"/>
          <w:szCs w:val="21"/>
        </w:rPr>
        <w:t>.2 《安徽省实施&lt;中华人民共和国水土保持法&gt;办法》的特殊规定</w:t>
      </w:r>
    </w:p>
    <w:tbl>
      <w:tblPr>
        <w:tblStyle w:val="15"/>
        <w:tblW w:w="516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524"/>
        <w:gridCol w:w="5888"/>
        <w:gridCol w:w="1666"/>
        <w:gridCol w:w="5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09" w:hRule="atLeast"/>
          <w:tblHeader/>
          <w:jc w:val="center"/>
        </w:trPr>
        <w:tc>
          <w:tcPr>
            <w:tcW w:w="305" w:type="pct"/>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序号</w:t>
            </w:r>
          </w:p>
        </w:tc>
        <w:tc>
          <w:tcPr>
            <w:tcW w:w="3421" w:type="pct"/>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约束性内容</w:t>
            </w:r>
          </w:p>
        </w:tc>
        <w:tc>
          <w:tcPr>
            <w:tcW w:w="968" w:type="pct"/>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本工程</w:t>
            </w:r>
          </w:p>
        </w:tc>
        <w:tc>
          <w:tcPr>
            <w:tcW w:w="305" w:type="pct"/>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评价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18" w:hRule="atLeast"/>
          <w:jc w:val="center"/>
        </w:trPr>
        <w:tc>
          <w:tcPr>
            <w:tcW w:w="305" w:type="pct"/>
            <w:vAlign w:val="center"/>
          </w:tcPr>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w:t>
            </w:r>
          </w:p>
        </w:tc>
        <w:tc>
          <w:tcPr>
            <w:tcW w:w="3421" w:type="pct"/>
            <w:vAlign w:val="center"/>
          </w:tcPr>
          <w:p>
            <w:pPr>
              <w:spacing w:line="240" w:lineRule="auto"/>
              <w:ind w:firstLine="0" w:firstLineChars="0"/>
              <w:rPr>
                <w:rFonts w:ascii="Times New Roman" w:hAnsi="Times New Roman" w:eastAsia="仿宋_GB2312" w:cs="Times New Roman"/>
                <w:sz w:val="21"/>
                <w:szCs w:val="21"/>
              </w:rPr>
            </w:pPr>
            <w:r>
              <w:rPr>
                <w:rFonts w:ascii="Times New Roman" w:hAnsi="Times New Roman" w:eastAsia="仿宋_GB2312" w:cs="Times New Roman"/>
                <w:sz w:val="21"/>
                <w:szCs w:val="21"/>
              </w:rPr>
              <w:t>第十八条 生产建设项目选址、选线应当避让水土流失重点预防区和重点治理区；无法避让的，应当提高防治标准，优化施工工艺，减少地表扰动和植被损坏范围，有效控制可能造成的水土流失。在水土流失重点预防区和重点治理区、城市规划区范围内，禁止新建破坏植被、损坏地貌等可能造成水土流失的露天采矿生产建设项目。</w:t>
            </w:r>
          </w:p>
        </w:tc>
        <w:tc>
          <w:tcPr>
            <w:tcW w:w="968" w:type="pct"/>
            <w:vAlign w:val="center"/>
          </w:tcPr>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本工程所在地不属于水土流失重点防治区，且项目不属于露天采矿项目。</w:t>
            </w:r>
          </w:p>
        </w:tc>
        <w:tc>
          <w:tcPr>
            <w:tcW w:w="305" w:type="pct"/>
            <w:vAlign w:val="center"/>
          </w:tcPr>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满足</w:t>
            </w:r>
          </w:p>
          <w:p>
            <w:pPr>
              <w:spacing w:line="240" w:lineRule="auto"/>
              <w:ind w:firstLine="0" w:firstLineChars="0"/>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要求</w:t>
            </w:r>
          </w:p>
        </w:tc>
      </w:tr>
    </w:tbl>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从上表可以看出，从《安徽省实施&lt;中华人民共和国水土保持法&gt;办法》的特殊规定对工程进行评价，本项目不涉及国家、安徽省及</w:t>
      </w:r>
      <w:r>
        <w:rPr>
          <w:rFonts w:hint="eastAsia" w:ascii="Times New Roman" w:hAnsi="Times New Roman" w:eastAsia="仿宋_GB2312" w:cs="Times New Roman"/>
          <w:sz w:val="24"/>
          <w:szCs w:val="24"/>
        </w:rPr>
        <w:t>六安</w:t>
      </w:r>
      <w:r>
        <w:rPr>
          <w:rFonts w:ascii="Times New Roman" w:hAnsi="Times New Roman" w:eastAsia="仿宋_GB2312" w:cs="Times New Roman"/>
          <w:sz w:val="24"/>
          <w:szCs w:val="24"/>
        </w:rPr>
        <w:t>市划定的水土流失重点预防区及重点治理区，不存在水土保持制约性因素。</w:t>
      </w:r>
    </w:p>
    <w:p>
      <w:pPr>
        <w:spacing w:line="360" w:lineRule="auto"/>
        <w:ind w:firstLine="480" w:firstLineChars="200"/>
        <w:rPr>
          <w:rFonts w:ascii="Times New Roman" w:hAnsi="Times New Roman" w:eastAsia="仿宋_GB2312" w:cs="Times New Roman"/>
          <w:sz w:val="24"/>
          <w:szCs w:val="24"/>
        </w:rPr>
      </w:pPr>
      <w:bookmarkStart w:id="53" w:name="_Toc25758"/>
      <w:r>
        <w:rPr>
          <w:rFonts w:ascii="Times New Roman" w:hAnsi="Times New Roman" w:eastAsia="仿宋_GB2312" w:cs="Times New Roman"/>
          <w:sz w:val="24"/>
          <w:szCs w:val="24"/>
        </w:rPr>
        <w:t>3）《生产建设项目水土保持技术标准》的约束性规定</w:t>
      </w:r>
      <w:bookmarkEnd w:id="53"/>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是否满足对主体工程的约束性规定分析与评价详见表</w:t>
      </w:r>
      <w:r>
        <w:rPr>
          <w:rFonts w:hint="eastAsia" w:cs="Times New Roman"/>
          <w:sz w:val="24"/>
          <w:szCs w:val="24"/>
          <w:lang w:val="en-US" w:eastAsia="zh-CN"/>
        </w:rPr>
        <w:t>6</w:t>
      </w:r>
      <w:r>
        <w:rPr>
          <w:rFonts w:ascii="Times New Roman" w:hAnsi="Times New Roman" w:eastAsia="仿宋_GB2312" w:cs="Times New Roman"/>
          <w:sz w:val="24"/>
          <w:szCs w:val="24"/>
        </w:rPr>
        <w:t>.3。</w:t>
      </w:r>
    </w:p>
    <w:p>
      <w:pPr>
        <w:adjustRightInd w:val="0"/>
        <w:snapToGrid w:val="0"/>
        <w:spacing w:beforeLines="50" w:line="240" w:lineRule="auto"/>
        <w:ind w:firstLine="0" w:firstLineChars="0"/>
        <w:jc w:val="center"/>
        <w:rPr>
          <w:rFonts w:ascii="Times New Roman" w:hAnsi="Times New Roman" w:eastAsia="仿宋_GB2312" w:cs="Times New Roman"/>
          <w:b/>
          <w:kern w:val="0"/>
          <w:sz w:val="24"/>
          <w:szCs w:val="21"/>
        </w:rPr>
      </w:pPr>
      <w:r>
        <w:rPr>
          <w:rFonts w:ascii="Times New Roman" w:hAnsi="Times New Roman" w:eastAsia="仿宋_GB2312" w:cs="Times New Roman"/>
          <w:b/>
          <w:kern w:val="0"/>
          <w:sz w:val="24"/>
          <w:szCs w:val="21"/>
        </w:rPr>
        <w:t>表</w:t>
      </w:r>
      <w:r>
        <w:rPr>
          <w:rFonts w:hint="eastAsia" w:cs="Times New Roman"/>
          <w:b/>
          <w:kern w:val="0"/>
          <w:sz w:val="24"/>
          <w:szCs w:val="21"/>
          <w:lang w:val="en-US" w:eastAsia="zh-CN"/>
        </w:rPr>
        <w:t>6</w:t>
      </w:r>
      <w:r>
        <w:rPr>
          <w:rFonts w:ascii="Times New Roman" w:hAnsi="Times New Roman" w:eastAsia="仿宋_GB2312" w:cs="Times New Roman"/>
          <w:b/>
          <w:kern w:val="0"/>
          <w:sz w:val="24"/>
          <w:szCs w:val="21"/>
        </w:rPr>
        <w:t>.3  对主体工程的约束性规定</w:t>
      </w:r>
    </w:p>
    <w:tbl>
      <w:tblPr>
        <w:tblStyle w:val="15"/>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87"/>
        <w:gridCol w:w="3162"/>
        <w:gridCol w:w="3419"/>
        <w:gridCol w:w="12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1" w:hRule="atLeast"/>
          <w:jc w:val="center"/>
        </w:trPr>
        <w:tc>
          <w:tcPr>
            <w:tcW w:w="403" w:type="pct"/>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序号</w:t>
            </w:r>
          </w:p>
        </w:tc>
        <w:tc>
          <w:tcPr>
            <w:tcW w:w="1855" w:type="pct"/>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对主体工程的约束性规定</w:t>
            </w:r>
          </w:p>
        </w:tc>
        <w:tc>
          <w:tcPr>
            <w:tcW w:w="2006" w:type="pct"/>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本工程</w:t>
            </w:r>
          </w:p>
        </w:tc>
        <w:tc>
          <w:tcPr>
            <w:tcW w:w="734" w:type="pct"/>
            <w:vAlign w:val="center"/>
          </w:tcPr>
          <w:p>
            <w:pPr>
              <w:spacing w:line="240" w:lineRule="auto"/>
              <w:ind w:firstLine="0" w:firstLineChars="0"/>
              <w:jc w:val="center"/>
              <w:rPr>
                <w:rFonts w:ascii="Times New Roman" w:hAnsi="Times New Roman" w:eastAsia="仿宋_GB2312" w:cs="Times New Roman"/>
                <w:b/>
                <w:sz w:val="21"/>
                <w:szCs w:val="21"/>
              </w:rPr>
            </w:pPr>
            <w:r>
              <w:rPr>
                <w:rFonts w:ascii="Times New Roman" w:hAnsi="Times New Roman" w:eastAsia="仿宋_GB2312" w:cs="Times New Roman"/>
                <w:b/>
                <w:sz w:val="21"/>
                <w:szCs w:val="21"/>
              </w:rPr>
              <w:t>评价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4" w:hRule="exact"/>
          <w:jc w:val="center"/>
        </w:trPr>
        <w:tc>
          <w:tcPr>
            <w:tcW w:w="403"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1</w:t>
            </w:r>
          </w:p>
        </w:tc>
        <w:tc>
          <w:tcPr>
            <w:tcW w:w="1855"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选址（线）应当避让水土流失重点预防区和重点治理区。</w:t>
            </w:r>
          </w:p>
        </w:tc>
        <w:tc>
          <w:tcPr>
            <w:tcW w:w="2006"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本工程所在地不属于水土流失重点预防区和重点治理区。</w:t>
            </w:r>
          </w:p>
        </w:tc>
        <w:tc>
          <w:tcPr>
            <w:tcW w:w="734"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满足要求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93" w:hRule="exact"/>
          <w:jc w:val="center"/>
        </w:trPr>
        <w:tc>
          <w:tcPr>
            <w:tcW w:w="403"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2</w:t>
            </w:r>
          </w:p>
        </w:tc>
        <w:tc>
          <w:tcPr>
            <w:tcW w:w="1855"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选址（线）应当避让河流两岸、湖泊和水库周边的植物保护带。</w:t>
            </w:r>
          </w:p>
        </w:tc>
        <w:tc>
          <w:tcPr>
            <w:tcW w:w="2006"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本项目距离</w:t>
            </w:r>
            <w:r>
              <w:rPr>
                <w:rFonts w:hint="eastAsia" w:ascii="Times New Roman" w:hAnsi="Times New Roman" w:eastAsia="仿宋_GB2312" w:cs="Times New Roman"/>
                <w:bCs/>
                <w:sz w:val="21"/>
                <w:szCs w:val="21"/>
              </w:rPr>
              <w:t>沿岗河</w:t>
            </w:r>
            <w:r>
              <w:rPr>
                <w:rFonts w:ascii="Times New Roman" w:hAnsi="Times New Roman" w:eastAsia="仿宋_GB2312" w:cs="Times New Roman"/>
                <w:bCs/>
                <w:sz w:val="21"/>
                <w:szCs w:val="21"/>
              </w:rPr>
              <w:t>最近直线距离为</w:t>
            </w:r>
            <w:r>
              <w:rPr>
                <w:rFonts w:hint="eastAsia" w:ascii="Times New Roman" w:hAnsi="Times New Roman" w:eastAsia="仿宋_GB2312" w:cs="Times New Roman"/>
                <w:bCs/>
                <w:sz w:val="21"/>
                <w:szCs w:val="21"/>
              </w:rPr>
              <w:t>4</w:t>
            </w:r>
            <w:r>
              <w:rPr>
                <w:rFonts w:ascii="Times New Roman" w:hAnsi="Times New Roman" w:eastAsia="仿宋_GB2312" w:cs="Times New Roman"/>
                <w:bCs/>
                <w:sz w:val="21"/>
                <w:szCs w:val="21"/>
              </w:rPr>
              <w:t>km，不在河流两岸、湖泊及水库周边的植物保护带内。</w:t>
            </w:r>
          </w:p>
        </w:tc>
        <w:tc>
          <w:tcPr>
            <w:tcW w:w="734"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满足要求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43" w:hRule="exact"/>
          <w:jc w:val="center"/>
        </w:trPr>
        <w:tc>
          <w:tcPr>
            <w:tcW w:w="403"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3</w:t>
            </w:r>
          </w:p>
        </w:tc>
        <w:tc>
          <w:tcPr>
            <w:tcW w:w="1855"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选址（线）应避让全国水土保持监测网络中的水土保持监测站点、重点试验区及国家确定的水土保持长期定位观测站。</w:t>
            </w:r>
          </w:p>
        </w:tc>
        <w:tc>
          <w:tcPr>
            <w:tcW w:w="2006"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本工程周边无全国水土保持监测网络中的水土保持监测站点、重点试验区和国家确定的水土保持长期定位观测站。</w:t>
            </w:r>
          </w:p>
        </w:tc>
        <w:tc>
          <w:tcPr>
            <w:tcW w:w="734" w:type="pct"/>
            <w:vAlign w:val="center"/>
          </w:tcPr>
          <w:p>
            <w:pPr>
              <w:spacing w:line="240" w:lineRule="auto"/>
              <w:ind w:firstLine="0" w:firstLineChars="0"/>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满足要求</w:t>
            </w:r>
          </w:p>
        </w:tc>
      </w:tr>
    </w:tbl>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从上表可以看出，从《生产建设项目水土保持技术标准》规定的主体工程的约束性规定对工程进行评价，本项目不涉及国家、安徽省及</w:t>
      </w:r>
      <w:r>
        <w:rPr>
          <w:rFonts w:hint="eastAsia" w:ascii="Times New Roman" w:hAnsi="Times New Roman" w:eastAsia="仿宋_GB2312" w:cs="Times New Roman"/>
          <w:sz w:val="24"/>
          <w:szCs w:val="24"/>
        </w:rPr>
        <w:t>六安</w:t>
      </w:r>
      <w:r>
        <w:rPr>
          <w:rFonts w:ascii="Times New Roman" w:hAnsi="Times New Roman" w:eastAsia="仿宋_GB2312" w:cs="Times New Roman"/>
          <w:sz w:val="24"/>
          <w:szCs w:val="24"/>
        </w:rPr>
        <w:t>市划定的水土流失重点预防区</w:t>
      </w:r>
      <w:r>
        <w:rPr>
          <w:rFonts w:ascii="Times New Roman" w:hAnsi="Times New Roman" w:eastAsia="仿宋_GB2312" w:cs="Times New Roman"/>
          <w:sz w:val="24"/>
          <w:szCs w:val="22"/>
        </w:rPr>
        <w:t>及重点治理区；本项目距离</w:t>
      </w:r>
      <w:r>
        <w:rPr>
          <w:rFonts w:hint="eastAsia" w:ascii="Times New Roman" w:hAnsi="Times New Roman" w:eastAsia="仿宋_GB2312" w:cs="Times New Roman"/>
          <w:sz w:val="24"/>
          <w:szCs w:val="22"/>
        </w:rPr>
        <w:t>沿岗</w:t>
      </w:r>
      <w:r>
        <w:rPr>
          <w:rFonts w:ascii="Times New Roman" w:hAnsi="Times New Roman" w:eastAsia="仿宋_GB2312" w:cs="Times New Roman"/>
          <w:sz w:val="24"/>
          <w:szCs w:val="22"/>
        </w:rPr>
        <w:t>河最近直线距离为</w:t>
      </w:r>
      <w:r>
        <w:rPr>
          <w:rFonts w:hint="eastAsia" w:ascii="Times New Roman" w:hAnsi="Times New Roman" w:eastAsia="仿宋_GB2312" w:cs="Times New Roman"/>
          <w:sz w:val="24"/>
          <w:szCs w:val="22"/>
        </w:rPr>
        <w:t>4</w:t>
      </w:r>
      <w:r>
        <w:rPr>
          <w:rFonts w:ascii="Times New Roman" w:hAnsi="Times New Roman" w:eastAsia="仿宋_GB2312" w:cs="Times New Roman"/>
          <w:sz w:val="24"/>
          <w:szCs w:val="22"/>
        </w:rPr>
        <w:t>km，不在河流两岸、湖泊及水库周边的植物保护带内；工程选址范围内无全国水土保持监测网络中的水土保持监测站点、重点试验区和国家确定的水土保持长期定位观测站；不存在水土保持制约性因素。</w:t>
      </w:r>
    </w:p>
    <w:p>
      <w:pPr>
        <w:spacing w:line="360" w:lineRule="auto"/>
        <w:ind w:firstLine="480" w:firstLineChars="200"/>
        <w:rPr>
          <w:rFonts w:ascii="Times New Roman" w:hAnsi="Times New Roman" w:eastAsia="仿宋_GB2312" w:cs="Times New Roman"/>
          <w:sz w:val="24"/>
          <w:szCs w:val="24"/>
        </w:rPr>
      </w:pPr>
      <w:r>
        <w:rPr>
          <w:rFonts w:ascii="Times New Roman" w:hAnsi="Times New Roman" w:eastAsia="仿宋_GB2312" w:cs="Times New Roman"/>
          <w:sz w:val="24"/>
          <w:szCs w:val="24"/>
        </w:rPr>
        <w:t>综上所述，对照《中华人民共和国水土保持法》、《安徽省实施&lt;中华人民共和国水土保持法&gt;办法》、《生产建设项目水土保持技术标准》（GB50433-2018）要求，本项目选址（线）不涉及国家、安徽省及</w:t>
      </w:r>
      <w:r>
        <w:rPr>
          <w:rFonts w:hint="eastAsia" w:ascii="Times New Roman" w:hAnsi="Times New Roman" w:eastAsia="仿宋_GB2312" w:cs="Times New Roman"/>
          <w:sz w:val="24"/>
          <w:szCs w:val="24"/>
        </w:rPr>
        <w:t>六安</w:t>
      </w:r>
      <w:r>
        <w:rPr>
          <w:rFonts w:ascii="Times New Roman" w:hAnsi="Times New Roman" w:eastAsia="仿宋_GB2312" w:cs="Times New Roman"/>
          <w:sz w:val="24"/>
          <w:szCs w:val="24"/>
        </w:rPr>
        <w:t>市划定的水土流失重点预防区</w:t>
      </w:r>
      <w:r>
        <w:rPr>
          <w:rFonts w:ascii="Times New Roman" w:hAnsi="Times New Roman" w:eastAsia="仿宋_GB2312" w:cs="Times New Roman"/>
          <w:sz w:val="24"/>
          <w:szCs w:val="22"/>
        </w:rPr>
        <w:t>及重点治理区，不在河流两岸、湖泊及水库周边的植物保护带内，工程选址范围内无全国水土保持监测网络中的水土保持监测站点、重点试验区和国家确定的水土保持长期定位观测站，</w:t>
      </w:r>
      <w:r>
        <w:rPr>
          <w:rFonts w:ascii="Times New Roman" w:hAnsi="Times New Roman" w:eastAsia="仿宋_GB2312" w:cs="Times New Roman"/>
          <w:sz w:val="24"/>
          <w:szCs w:val="24"/>
        </w:rPr>
        <w:t>主体工程选址（线）不存在水土保持制约性因素，满足水土保持要求。</w:t>
      </w:r>
    </w:p>
    <w:p>
      <w:pPr>
        <w:pStyle w:val="4"/>
      </w:pPr>
      <w:r>
        <w:rPr>
          <w:rFonts w:hint="eastAsia"/>
          <w:lang w:val="en-US" w:eastAsia="zh-CN"/>
        </w:rPr>
        <w:t>6</w:t>
      </w:r>
      <w:r>
        <w:t xml:space="preserve">.2 </w:t>
      </w:r>
      <w:r>
        <w:rPr>
          <w:rFonts w:hint="eastAsia"/>
        </w:rPr>
        <w:t>建设方案与布局评价</w:t>
      </w:r>
      <w:bookmarkEnd w:id="50"/>
    </w:p>
    <w:p>
      <w:pPr>
        <w:spacing w:line="360" w:lineRule="auto"/>
        <w:ind w:firstLine="482" w:firstLineChars="200"/>
        <w:jc w:val="left"/>
        <w:rPr>
          <w:rFonts w:hint="eastAsia" w:ascii="Times New Roman" w:hAnsi="Times New Roman" w:eastAsia="仿宋_GB2312" w:cs="Times New Roman"/>
          <w:sz w:val="24"/>
          <w:szCs w:val="22"/>
          <w:highlight w:val="none"/>
          <w:lang w:val="en-US" w:eastAsia="zh-CN"/>
        </w:rPr>
      </w:pPr>
      <w:r>
        <w:rPr>
          <w:rFonts w:hint="eastAsia" w:cs="Times New Roman"/>
          <w:b/>
          <w:bCs/>
          <w:sz w:val="24"/>
          <w:szCs w:val="22"/>
          <w:lang w:val="en-US" w:eastAsia="zh-CN"/>
        </w:rPr>
        <w:t>工程建设方案评价：</w:t>
      </w:r>
      <w:r>
        <w:rPr>
          <w:rFonts w:ascii="Times New Roman" w:hAnsi="Times New Roman" w:eastAsia="仿宋_GB2312" w:cs="Times New Roman"/>
          <w:sz w:val="24"/>
          <w:szCs w:val="22"/>
        </w:rPr>
        <w:t>从《生产建设项目水土保持技术标准》规定的建设方案的约束性规定对本工程进行评价，本工程不涉及高填深挖路段；</w:t>
      </w:r>
      <w:r>
        <w:rPr>
          <w:rFonts w:hint="eastAsia" w:ascii="Times New Roman" w:hAnsi="Times New Roman" w:eastAsia="仿宋_GB2312" w:cs="Times New Roman"/>
          <w:sz w:val="24"/>
          <w:szCs w:val="22"/>
        </w:rPr>
        <w:t>主体工程不涉及城镇区建设工程</w:t>
      </w:r>
      <w:r>
        <w:rPr>
          <w:rFonts w:ascii="Times New Roman" w:hAnsi="Times New Roman" w:eastAsia="仿宋_GB2312" w:cs="Times New Roman"/>
          <w:sz w:val="24"/>
          <w:szCs w:val="22"/>
        </w:rPr>
        <w:t>；主体工程不涉及山区输电工程；</w:t>
      </w:r>
      <w:r>
        <w:rPr>
          <w:rFonts w:ascii="Times New Roman" w:hAnsi="Times New Roman" w:eastAsia="仿宋_GB2312" w:cs="Times New Roman"/>
          <w:color w:val="auto"/>
          <w:sz w:val="24"/>
          <w:szCs w:val="22"/>
          <w:highlight w:val="none"/>
        </w:rPr>
        <w:t>项目不涉及水土流失重点预防区和重点治理区</w:t>
      </w:r>
      <w:r>
        <w:rPr>
          <w:rFonts w:hint="eastAsia" w:ascii="Times New Roman" w:hAnsi="Times New Roman" w:eastAsia="仿宋_GB2312" w:cs="Times New Roman"/>
          <w:color w:val="auto"/>
          <w:sz w:val="24"/>
          <w:szCs w:val="22"/>
          <w:highlight w:val="none"/>
          <w:lang w:eastAsia="zh-CN"/>
        </w:rPr>
        <w:t>。</w:t>
      </w:r>
    </w:p>
    <w:p>
      <w:pPr>
        <w:spacing w:line="360" w:lineRule="auto"/>
        <w:ind w:firstLine="480" w:firstLineChars="200"/>
        <w:jc w:val="left"/>
        <w:rPr>
          <w:rFonts w:ascii="Times New Roman" w:hAnsi="Times New Roman" w:eastAsia="仿宋_GB2312" w:cs="Times New Roman"/>
          <w:sz w:val="24"/>
          <w:szCs w:val="22"/>
        </w:rPr>
      </w:pPr>
      <w:r>
        <w:rPr>
          <w:rFonts w:ascii="Times New Roman" w:hAnsi="Times New Roman" w:eastAsia="仿宋_GB2312" w:cs="Times New Roman"/>
          <w:sz w:val="24"/>
          <w:szCs w:val="22"/>
        </w:rPr>
        <w:t>本项目的建设方案满足水土保持的《生产建设项目水土保持技术标准》要求，本项目建设方案满足水土保持约束性规定、水土保持方案调查和勘测要求，不存在水土保持制约性因素。</w:t>
      </w:r>
    </w:p>
    <w:p>
      <w:pPr>
        <w:spacing w:line="360" w:lineRule="auto"/>
        <w:ind w:firstLine="482" w:firstLineChars="200"/>
        <w:jc w:val="left"/>
        <w:rPr>
          <w:rFonts w:ascii="Times New Roman" w:hAnsi="Times New Roman" w:eastAsia="仿宋_GB2312" w:cs="Times New Roman"/>
          <w:sz w:val="24"/>
          <w:szCs w:val="22"/>
          <w:vertAlign w:val="superscript"/>
        </w:rPr>
      </w:pPr>
      <w:r>
        <w:rPr>
          <w:rFonts w:hint="eastAsia" w:ascii="Times New Roman" w:hAnsi="Times New Roman" w:cs="Times New Roman"/>
          <w:b/>
          <w:bCs/>
          <w:sz w:val="24"/>
          <w:szCs w:val="22"/>
          <w:lang w:val="en-US" w:eastAsia="zh-CN"/>
        </w:rPr>
        <w:t>占地评价：</w:t>
      </w:r>
      <w:r>
        <w:rPr>
          <w:rFonts w:ascii="Times New Roman" w:hAnsi="Times New Roman" w:eastAsia="仿宋_GB2312" w:cs="Times New Roman"/>
          <w:sz w:val="24"/>
          <w:szCs w:val="22"/>
        </w:rPr>
        <w:t>本工程本着节约用地的原则，尽量控制施工边界宽度，在既满足工程总体规划布局所需要必须占地外，不占用其他土地，最大限度的减少对地表的挖填、占压和破坏。项目用地占地类型为</w:t>
      </w:r>
      <w:r>
        <w:rPr>
          <w:rFonts w:hint="eastAsia" w:ascii="Times New Roman" w:hAnsi="Times New Roman" w:eastAsia="仿宋_GB2312" w:cs="Times New Roman"/>
          <w:sz w:val="24"/>
          <w:szCs w:val="22"/>
        </w:rPr>
        <w:t>耕地</w:t>
      </w:r>
      <w:r>
        <w:rPr>
          <w:rFonts w:ascii="Times New Roman" w:hAnsi="Times New Roman" w:eastAsia="仿宋_GB2312" w:cs="Times New Roman"/>
          <w:sz w:val="24"/>
          <w:szCs w:val="22"/>
        </w:rPr>
        <w:t>，施工结束后依然维持原地貌种植</w:t>
      </w:r>
      <w:r>
        <w:rPr>
          <w:rFonts w:hint="eastAsia" w:ascii="Times New Roman" w:hAnsi="Times New Roman" w:eastAsia="仿宋_GB2312" w:cs="Times New Roman"/>
          <w:sz w:val="24"/>
          <w:szCs w:val="22"/>
        </w:rPr>
        <w:t>。</w:t>
      </w:r>
    </w:p>
    <w:p>
      <w:pPr>
        <w:spacing w:line="360" w:lineRule="auto"/>
        <w:ind w:firstLine="482" w:firstLineChars="200"/>
        <w:jc w:val="left"/>
        <w:rPr>
          <w:color w:val="000000" w:themeColor="text1"/>
          <w14:textFill>
            <w14:solidFill>
              <w14:schemeClr w14:val="tx1"/>
            </w14:solidFill>
          </w14:textFill>
        </w:rPr>
      </w:pPr>
      <w:r>
        <w:rPr>
          <w:rFonts w:hint="eastAsia" w:ascii="Times New Roman" w:hAnsi="Times New Roman" w:cs="Times New Roman"/>
          <w:b/>
          <w:bCs/>
          <w:kern w:val="0"/>
          <w:sz w:val="24"/>
          <w:szCs w:val="22"/>
          <w:shd w:val="clear" w:color="auto" w:fill="FFFFFF"/>
          <w:lang w:val="en-US" w:eastAsia="zh-CN"/>
        </w:rPr>
        <w:t>土石方评价：</w:t>
      </w:r>
      <w:r>
        <w:rPr>
          <w:rFonts w:ascii="Times New Roman" w:hAnsi="Times New Roman" w:eastAsia="仿宋_GB2312" w:cs="Times New Roman"/>
          <w:kern w:val="0"/>
          <w:sz w:val="24"/>
          <w:szCs w:val="22"/>
          <w:shd w:val="clear" w:color="auto" w:fill="FFFFFF"/>
        </w:rPr>
        <w:t>本项目为开发建设项目，</w:t>
      </w:r>
      <w:r>
        <w:rPr>
          <w:rFonts w:hint="eastAsia" w:ascii="Times New Roman" w:hAnsi="Times New Roman" w:eastAsia="仿宋_GB2312" w:cs="Times New Roman"/>
          <w:kern w:val="0"/>
          <w:sz w:val="24"/>
          <w:szCs w:val="22"/>
          <w:shd w:val="clear" w:color="auto" w:fill="FFFFFF"/>
        </w:rPr>
        <w:t>开挖土方1.</w:t>
      </w:r>
      <w:r>
        <w:rPr>
          <w:rFonts w:hint="eastAsia" w:ascii="Times New Roman" w:hAnsi="Times New Roman" w:cs="Times New Roman"/>
          <w:kern w:val="0"/>
          <w:sz w:val="24"/>
          <w:szCs w:val="22"/>
          <w:shd w:val="clear" w:color="auto" w:fill="FFFFFF"/>
          <w:lang w:val="en-US" w:eastAsia="zh-CN"/>
        </w:rPr>
        <w:t>0</w:t>
      </w:r>
      <w:r>
        <w:rPr>
          <w:rFonts w:hint="eastAsia" w:ascii="Times New Roman" w:hAnsi="Times New Roman" w:eastAsia="仿宋_GB2312" w:cs="Times New Roman"/>
          <w:kern w:val="0"/>
          <w:sz w:val="24"/>
          <w:szCs w:val="22"/>
          <w:shd w:val="clear" w:color="auto" w:fill="FFFFFF"/>
        </w:rPr>
        <w:t>7万m</w:t>
      </w:r>
      <w:r>
        <w:rPr>
          <w:rFonts w:hint="eastAsia" w:ascii="Times New Roman" w:hAnsi="Times New Roman" w:eastAsia="仿宋_GB2312" w:cs="Times New Roman"/>
          <w:kern w:val="0"/>
          <w:sz w:val="24"/>
          <w:szCs w:val="22"/>
          <w:shd w:val="clear" w:color="auto" w:fill="FFFFFF"/>
          <w:vertAlign w:val="superscript"/>
        </w:rPr>
        <w:t>3</w:t>
      </w:r>
      <w:r>
        <w:rPr>
          <w:rFonts w:hint="eastAsia" w:ascii="Times New Roman" w:hAnsi="Times New Roman" w:eastAsia="仿宋_GB2312" w:cs="Times New Roman"/>
          <w:kern w:val="0"/>
          <w:sz w:val="24"/>
          <w:szCs w:val="22"/>
          <w:shd w:val="clear" w:color="auto" w:fill="FFFFFF"/>
        </w:rPr>
        <w:t>，回填1.</w:t>
      </w:r>
      <w:r>
        <w:rPr>
          <w:rFonts w:hint="eastAsia" w:ascii="Times New Roman" w:hAnsi="Times New Roman" w:cs="Times New Roman"/>
          <w:kern w:val="0"/>
          <w:sz w:val="24"/>
          <w:szCs w:val="22"/>
          <w:shd w:val="clear" w:color="auto" w:fill="FFFFFF"/>
          <w:lang w:val="en-US" w:eastAsia="zh-CN"/>
        </w:rPr>
        <w:t>0</w:t>
      </w:r>
      <w:r>
        <w:rPr>
          <w:rFonts w:hint="eastAsia" w:ascii="Times New Roman" w:hAnsi="Times New Roman" w:eastAsia="仿宋_GB2312" w:cs="Times New Roman"/>
          <w:kern w:val="0"/>
          <w:sz w:val="24"/>
          <w:szCs w:val="22"/>
          <w:shd w:val="clear" w:color="auto" w:fill="FFFFFF"/>
        </w:rPr>
        <w:t>7万m</w:t>
      </w:r>
      <w:r>
        <w:rPr>
          <w:rFonts w:hint="eastAsia" w:ascii="Times New Roman" w:hAnsi="Times New Roman" w:eastAsia="仿宋_GB2312" w:cs="Times New Roman"/>
          <w:kern w:val="0"/>
          <w:sz w:val="24"/>
          <w:szCs w:val="22"/>
          <w:shd w:val="clear" w:color="auto" w:fill="FFFFFF"/>
          <w:vertAlign w:val="superscript"/>
        </w:rPr>
        <w:t>3</w:t>
      </w:r>
      <w:r>
        <w:rPr>
          <w:rFonts w:hint="eastAsia" w:ascii="Times New Roman" w:hAnsi="Times New Roman" w:eastAsia="仿宋_GB2312" w:cs="Times New Roman"/>
          <w:kern w:val="0"/>
          <w:sz w:val="24"/>
          <w:szCs w:val="22"/>
          <w:shd w:val="clear" w:color="auto" w:fill="FFFFFF"/>
        </w:rPr>
        <w:t>，开挖土方全部回填，无借方、弃方</w:t>
      </w:r>
      <w:r>
        <w:rPr>
          <w:rFonts w:ascii="Times New Roman" w:hAnsi="Times New Roman" w:eastAsia="仿宋_GB2312" w:cs="Times New Roman"/>
          <w:kern w:val="0"/>
          <w:sz w:val="24"/>
          <w:szCs w:val="22"/>
          <w:shd w:val="clear" w:color="auto" w:fill="FFFFFF"/>
        </w:rPr>
        <w:t>，</w:t>
      </w:r>
      <w:r>
        <w:rPr>
          <w:rFonts w:hint="eastAsia" w:ascii="Times New Roman" w:hAnsi="Times New Roman" w:eastAsia="仿宋_GB2312" w:cs="Times New Roman"/>
          <w:kern w:val="0"/>
          <w:sz w:val="24"/>
          <w:szCs w:val="22"/>
          <w:shd w:val="clear" w:color="auto" w:fill="FFFFFF"/>
        </w:rPr>
        <w:t>土石方挖填方平衡，</w:t>
      </w:r>
      <w:r>
        <w:rPr>
          <w:rFonts w:ascii="Times New Roman" w:hAnsi="Times New Roman" w:eastAsia="仿宋_GB2312" w:cs="Times New Roman"/>
          <w:kern w:val="0"/>
          <w:sz w:val="24"/>
          <w:szCs w:val="22"/>
          <w:shd w:val="clear" w:color="auto" w:fill="FFFFFF"/>
        </w:rPr>
        <w:t>满足水土保持要</w:t>
      </w:r>
      <w:r>
        <w:rPr>
          <w:rFonts w:ascii="Times New Roman" w:hAnsi="Times New Roman" w:eastAsia="仿宋_GB2312" w:cs="Times New Roman"/>
          <w:color w:val="000000" w:themeColor="text1"/>
          <w:kern w:val="0"/>
          <w:sz w:val="24"/>
          <w:szCs w:val="22"/>
          <w:shd w:val="clear" w:color="auto" w:fill="FFFFFF"/>
          <w14:textFill>
            <w14:solidFill>
              <w14:schemeClr w14:val="tx1"/>
            </w14:solidFill>
          </w14:textFill>
        </w:rPr>
        <w:t>求。</w:t>
      </w:r>
    </w:p>
    <w:p>
      <w:pPr>
        <w:ind w:firstLine="480"/>
      </w:pPr>
      <w:r>
        <w:rPr>
          <w:rFonts w:hint="eastAsia" w:ascii="Times New Roman" w:hAnsi="Times New Roman" w:cs="Times New Roman"/>
          <w:b/>
          <w:bCs/>
          <w:kern w:val="0"/>
          <w:sz w:val="24"/>
          <w:szCs w:val="22"/>
          <w:shd w:val="clear" w:color="auto" w:fill="FFFFFF"/>
          <w:lang w:val="en-US" w:eastAsia="zh-CN"/>
        </w:rPr>
        <w:t>施工方案与工艺评价：</w:t>
      </w:r>
      <w:r>
        <w:rPr>
          <w:rFonts w:hint="eastAsia"/>
        </w:rPr>
        <w:t>土方开挖、填筑采用机械和人工相结合的施工工艺和方法，土建施工采取分段、分区施工，有效地减少扰动的范围，减少裸露时间和裸露面积；按设计施工严格控制施工范围，施工工序和施工时间计划合理；符合水土保持要求。</w:t>
      </w:r>
    </w:p>
    <w:p>
      <w:pPr>
        <w:ind w:firstLine="480"/>
      </w:pPr>
      <w:r>
        <w:rPr>
          <w:rFonts w:hint="eastAsia" w:ascii="Times New Roman" w:hAnsi="Times New Roman" w:cs="Times New Roman"/>
          <w:b/>
          <w:bCs/>
          <w:kern w:val="0"/>
          <w:sz w:val="24"/>
          <w:szCs w:val="22"/>
          <w:shd w:val="clear" w:color="auto" w:fill="FFFFFF"/>
          <w:lang w:val="en-US" w:eastAsia="zh-CN"/>
        </w:rPr>
        <w:t>主体工程设计中具有水土保持功能工程的评价：</w:t>
      </w:r>
      <w:r>
        <w:rPr>
          <w:rFonts w:hint="eastAsia"/>
        </w:rPr>
        <w:t>主体设计中</w:t>
      </w:r>
      <w:r>
        <w:rPr>
          <w:rFonts w:hint="eastAsia"/>
          <w:lang w:val="en-US" w:eastAsia="zh-CN"/>
        </w:rPr>
        <w:t>各项水土保持</w:t>
      </w:r>
      <w:r>
        <w:rPr>
          <w:rFonts w:hint="eastAsia"/>
        </w:rPr>
        <w:t>措施</w:t>
      </w:r>
      <w:r>
        <w:rPr>
          <w:rFonts w:hint="eastAsia"/>
          <w:lang w:val="en-US" w:eastAsia="zh-CN"/>
        </w:rPr>
        <w:t>较为缺乏</w:t>
      </w:r>
      <w:r>
        <w:rPr>
          <w:rFonts w:hint="eastAsia"/>
        </w:rPr>
        <w:t>，针对</w:t>
      </w:r>
      <w:r>
        <w:rPr>
          <w:rFonts w:hint="eastAsia"/>
          <w:lang w:val="en-US" w:eastAsia="zh-CN"/>
        </w:rPr>
        <w:t>施工中</w:t>
      </w:r>
      <w:r>
        <w:rPr>
          <w:rFonts w:hint="eastAsia"/>
        </w:rPr>
        <w:t>苫盖措施</w:t>
      </w:r>
      <w:r>
        <w:rPr>
          <w:rFonts w:hint="eastAsia"/>
          <w:lang w:eastAsia="zh-CN"/>
        </w:rPr>
        <w:t>、</w:t>
      </w:r>
      <w:r>
        <w:rPr>
          <w:rFonts w:hint="eastAsia"/>
        </w:rPr>
        <w:t>施工</w:t>
      </w:r>
      <w:r>
        <w:rPr>
          <w:rFonts w:hint="eastAsia"/>
          <w:lang w:val="en-US" w:eastAsia="zh-CN"/>
        </w:rPr>
        <w:t>结束恢复措施</w:t>
      </w:r>
      <w:r>
        <w:rPr>
          <w:rFonts w:hint="eastAsia"/>
        </w:rPr>
        <w:t>尚设计不足，需本方案补充设计。</w:t>
      </w:r>
    </w:p>
    <w:p>
      <w:pPr>
        <w:pStyle w:val="3"/>
        <w:rPr>
          <w:rFonts w:hint="eastAsia"/>
        </w:rPr>
      </w:pPr>
      <w:bookmarkStart w:id="54" w:name="_Toc50731624"/>
      <w:r>
        <w:rPr>
          <w:rFonts w:hint="eastAsia"/>
          <w:lang w:val="en-US" w:eastAsia="zh-CN"/>
        </w:rPr>
        <w:t>7</w:t>
      </w:r>
      <w:r>
        <w:t xml:space="preserve"> </w:t>
      </w:r>
      <w:r>
        <w:rPr>
          <w:rFonts w:hint="eastAsia"/>
        </w:rPr>
        <w:t>水土流失分析与预测</w:t>
      </w:r>
      <w:bookmarkEnd w:id="54"/>
    </w:p>
    <w:p>
      <w:pPr>
        <w:pStyle w:val="4"/>
        <w:rPr>
          <w:rFonts w:hint="default"/>
          <w:lang w:val="en-US" w:eastAsia="zh-CN"/>
        </w:rPr>
      </w:pPr>
      <w:r>
        <w:rPr>
          <w:rFonts w:hint="eastAsia"/>
          <w:lang w:val="en-US" w:eastAsia="zh-CN"/>
        </w:rPr>
        <w:t>7.1水土流失现状</w:t>
      </w:r>
    </w:p>
    <w:p>
      <w:pPr>
        <w:spacing w:line="360" w:lineRule="auto"/>
        <w:ind w:firstLine="480" w:firstLineChars="200"/>
        <w:rPr>
          <w:rFonts w:hint="eastAsia" w:ascii="Times New Roman" w:hAnsi="Times New Roman" w:cs="Times New Roman"/>
          <w:kern w:val="0"/>
          <w:sz w:val="24"/>
          <w:szCs w:val="22"/>
          <w:shd w:val="clear" w:color="auto" w:fill="FFFFFF"/>
          <w:lang w:val="en-US" w:eastAsia="zh-CN"/>
        </w:rPr>
      </w:pPr>
      <w:r>
        <w:rPr>
          <w:rFonts w:ascii="Times New Roman" w:hAnsi="Times New Roman" w:eastAsia="仿宋_GB2312" w:cs="Times New Roman"/>
          <w:kern w:val="0"/>
          <w:sz w:val="24"/>
          <w:szCs w:val="22"/>
          <w:shd w:val="clear" w:color="auto" w:fill="FFFFFF"/>
        </w:rPr>
        <w:t>根据《</w:t>
      </w:r>
      <w:r>
        <w:rPr>
          <w:rFonts w:hint="eastAsia" w:ascii="Times New Roman" w:hAnsi="Times New Roman" w:eastAsia="仿宋_GB2312" w:cs="Times New Roman"/>
          <w:kern w:val="0"/>
          <w:sz w:val="24"/>
          <w:szCs w:val="22"/>
          <w:shd w:val="clear" w:color="auto" w:fill="FFFFFF"/>
        </w:rPr>
        <w:t>六安市水土保持规划</w:t>
      </w:r>
      <w:r>
        <w:rPr>
          <w:rFonts w:ascii="Times New Roman" w:hAnsi="Times New Roman" w:eastAsia="仿宋_GB2312" w:cs="Times New Roman"/>
          <w:kern w:val="0"/>
          <w:sz w:val="24"/>
          <w:szCs w:val="22"/>
          <w:shd w:val="clear" w:color="auto" w:fill="FFFFFF"/>
        </w:rPr>
        <w:t>》，</w:t>
      </w:r>
      <w:r>
        <w:rPr>
          <w:rFonts w:hint="eastAsia" w:ascii="Times New Roman" w:hAnsi="Times New Roman" w:eastAsia="仿宋_GB2312" w:cs="Times New Roman"/>
          <w:kern w:val="0"/>
          <w:sz w:val="24"/>
          <w:szCs w:val="22"/>
          <w:shd w:val="clear" w:color="auto" w:fill="FFFFFF"/>
          <w:lang w:val="en-US" w:eastAsia="zh-CN"/>
        </w:rPr>
        <w:t>项目所在</w:t>
      </w:r>
      <w:r>
        <w:rPr>
          <w:rFonts w:hint="eastAsia" w:ascii="Times New Roman" w:hAnsi="Times New Roman" w:cs="Times New Roman"/>
          <w:kern w:val="0"/>
          <w:sz w:val="24"/>
          <w:szCs w:val="22"/>
          <w:shd w:val="clear" w:color="auto" w:fill="FFFFFF"/>
          <w:lang w:val="en-US" w:eastAsia="zh-CN"/>
        </w:rPr>
        <w:t>高塘镇、冯井镇及范桥镇现</w:t>
      </w:r>
      <w:r>
        <w:rPr>
          <w:rFonts w:hint="eastAsia" w:ascii="Times New Roman" w:hAnsi="Times New Roman" w:eastAsia="仿宋_GB2312" w:cs="Times New Roman"/>
          <w:kern w:val="0"/>
          <w:sz w:val="24"/>
          <w:szCs w:val="22"/>
          <w:shd w:val="clear" w:color="auto" w:fill="FFFFFF"/>
          <w:lang w:val="en-US" w:eastAsia="zh-CN"/>
        </w:rPr>
        <w:t>水土流失情况见表</w:t>
      </w:r>
      <w:r>
        <w:rPr>
          <w:rFonts w:hint="eastAsia" w:cs="Times New Roman"/>
          <w:kern w:val="0"/>
          <w:sz w:val="24"/>
          <w:szCs w:val="22"/>
          <w:shd w:val="clear" w:color="auto" w:fill="FFFFFF"/>
          <w:lang w:val="en-US" w:eastAsia="zh-CN"/>
        </w:rPr>
        <w:t>7</w:t>
      </w:r>
      <w:r>
        <w:rPr>
          <w:rFonts w:hint="eastAsia" w:ascii="Times New Roman" w:hAnsi="Times New Roman" w:cs="Times New Roman"/>
          <w:kern w:val="0"/>
          <w:sz w:val="24"/>
          <w:szCs w:val="22"/>
          <w:shd w:val="clear" w:color="auto" w:fill="FFFFFF"/>
          <w:lang w:val="en-US" w:eastAsia="zh-CN"/>
        </w:rPr>
        <w:t>-1。</w:t>
      </w:r>
    </w:p>
    <w:p>
      <w:pPr>
        <w:spacing w:line="240" w:lineRule="auto"/>
        <w:ind w:firstLine="0" w:firstLineChars="0"/>
        <w:jc w:val="center"/>
        <w:rPr>
          <w:rFonts w:ascii="Times New Roman" w:hAnsi="Times New Roman" w:eastAsia="仿宋_GB2312" w:cs="Times New Roman"/>
          <w:b/>
          <w:bCs/>
          <w:kern w:val="28"/>
          <w:sz w:val="21"/>
          <w:szCs w:val="32"/>
        </w:rPr>
      </w:pPr>
      <w:r>
        <w:rPr>
          <w:rFonts w:ascii="Times New Roman" w:hAnsi="Times New Roman" w:eastAsia="仿宋_GB2312" w:cs="Times New Roman"/>
          <w:b/>
          <w:bCs/>
          <w:kern w:val="28"/>
          <w:sz w:val="21"/>
          <w:szCs w:val="32"/>
        </w:rPr>
        <w:t>表</w:t>
      </w:r>
      <w:r>
        <w:rPr>
          <w:rFonts w:hint="eastAsia" w:cs="Times New Roman"/>
          <w:b/>
          <w:bCs/>
          <w:kern w:val="28"/>
          <w:sz w:val="21"/>
          <w:szCs w:val="32"/>
          <w:lang w:val="en-US" w:eastAsia="zh-CN"/>
        </w:rPr>
        <w:t>7</w:t>
      </w:r>
      <w:r>
        <w:rPr>
          <w:rFonts w:ascii="Times New Roman" w:hAnsi="Times New Roman" w:eastAsia="仿宋_GB2312" w:cs="Times New Roman"/>
          <w:b/>
          <w:bCs/>
          <w:kern w:val="28"/>
          <w:sz w:val="21"/>
          <w:szCs w:val="32"/>
        </w:rPr>
        <w:t xml:space="preserve">-1 </w:t>
      </w:r>
      <w:r>
        <w:rPr>
          <w:rFonts w:hint="eastAsia" w:ascii="Times New Roman" w:hAnsi="Times New Roman" w:cs="Times New Roman"/>
          <w:b/>
          <w:bCs/>
          <w:kern w:val="28"/>
          <w:sz w:val="21"/>
          <w:szCs w:val="32"/>
          <w:lang w:val="en-US" w:eastAsia="zh-CN"/>
        </w:rPr>
        <w:t>高塘镇、冯井镇及范桥镇</w:t>
      </w:r>
      <w:r>
        <w:rPr>
          <w:rFonts w:ascii="Times New Roman" w:hAnsi="Times New Roman" w:eastAsia="仿宋_GB2312" w:cs="Times New Roman"/>
          <w:b/>
          <w:bCs/>
          <w:kern w:val="28"/>
          <w:sz w:val="21"/>
          <w:szCs w:val="32"/>
        </w:rPr>
        <w:t>水土流失情况表</w:t>
      </w:r>
    </w:p>
    <w:tbl>
      <w:tblPr>
        <w:tblStyle w:val="15"/>
        <w:tblW w:w="7707" w:type="dxa"/>
        <w:jc w:val="center"/>
        <w:tblLayout w:type="fixed"/>
        <w:tblCellMar>
          <w:top w:w="0" w:type="dxa"/>
          <w:left w:w="108" w:type="dxa"/>
          <w:bottom w:w="0" w:type="dxa"/>
          <w:right w:w="108" w:type="dxa"/>
        </w:tblCellMar>
      </w:tblPr>
      <w:tblGrid>
        <w:gridCol w:w="782"/>
        <w:gridCol w:w="951"/>
        <w:gridCol w:w="2017"/>
        <w:gridCol w:w="2055"/>
        <w:gridCol w:w="1902"/>
      </w:tblGrid>
      <w:tr>
        <w:tblPrEx>
          <w:tblCellMar>
            <w:top w:w="0" w:type="dxa"/>
            <w:left w:w="108" w:type="dxa"/>
            <w:bottom w:w="0" w:type="dxa"/>
            <w:right w:w="108" w:type="dxa"/>
          </w:tblCellMar>
        </w:tblPrEx>
        <w:trPr>
          <w:trHeight w:val="90" w:hRule="atLeast"/>
          <w:jc w:val="center"/>
        </w:trPr>
        <w:tc>
          <w:tcPr>
            <w:tcW w:w="1733" w:type="dxa"/>
            <w:gridSpan w:val="2"/>
            <w:vMerge w:val="restart"/>
            <w:tcBorders>
              <w:top w:val="single" w:color="auto" w:sz="12" w:space="0"/>
              <w:left w:val="single" w:color="auto" w:sz="12" w:space="0"/>
              <w:bottom w:val="single" w:color="000000" w:sz="8" w:space="0"/>
              <w:right w:val="single" w:color="000000" w:sz="8" w:space="0"/>
            </w:tcBorders>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侵 蚀 程 度</w:t>
            </w:r>
          </w:p>
        </w:tc>
        <w:tc>
          <w:tcPr>
            <w:tcW w:w="2017" w:type="dxa"/>
            <w:tcBorders>
              <w:top w:val="single" w:color="auto" w:sz="12" w:space="0"/>
              <w:left w:val="nil"/>
              <w:bottom w:val="single" w:color="auto" w:sz="8" w:space="0"/>
              <w:right w:val="single" w:color="000000" w:sz="8" w:space="0"/>
            </w:tcBorders>
            <w:vAlign w:val="center"/>
          </w:tcPr>
          <w:p>
            <w:pPr>
              <w:widowControl/>
              <w:bidi/>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eastAsia" w:ascii="Times New Roman" w:hAnsi="Times New Roman" w:cs="Times New Roman"/>
                <w:b/>
                <w:bCs/>
                <w:kern w:val="0"/>
                <w:sz w:val="21"/>
                <w:szCs w:val="21"/>
                <w:lang w:val="en-US" w:eastAsia="zh-CN"/>
              </w:rPr>
              <w:t>高塘镇</w:t>
            </w:r>
          </w:p>
        </w:tc>
        <w:tc>
          <w:tcPr>
            <w:tcW w:w="2055" w:type="dxa"/>
            <w:tcBorders>
              <w:top w:val="single" w:color="auto" w:sz="12" w:space="0"/>
              <w:left w:val="nil"/>
              <w:bottom w:val="single" w:color="auto" w:sz="8" w:space="0"/>
              <w:right w:val="single" w:color="000000" w:sz="8" w:space="0"/>
            </w:tcBorders>
            <w:vAlign w:val="center"/>
          </w:tcPr>
          <w:p>
            <w:pPr>
              <w:widowControl/>
              <w:bidi/>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eastAsia" w:ascii="Times New Roman" w:hAnsi="Times New Roman" w:cs="Times New Roman"/>
                <w:b/>
                <w:bCs/>
                <w:kern w:val="0"/>
                <w:sz w:val="21"/>
                <w:szCs w:val="21"/>
                <w:lang w:val="en-US" w:eastAsia="zh-CN"/>
              </w:rPr>
              <w:t>冯井镇</w:t>
            </w:r>
          </w:p>
        </w:tc>
        <w:tc>
          <w:tcPr>
            <w:tcW w:w="1902" w:type="dxa"/>
            <w:tcBorders>
              <w:top w:val="single" w:color="auto" w:sz="12" w:space="0"/>
              <w:left w:val="nil"/>
              <w:bottom w:val="single" w:color="auto" w:sz="8" w:space="0"/>
              <w:right w:val="single" w:color="000000" w:sz="8" w:space="0"/>
            </w:tcBorders>
            <w:vAlign w:val="center"/>
          </w:tcPr>
          <w:p>
            <w:pPr>
              <w:widowControl/>
              <w:bidi/>
              <w:spacing w:line="240" w:lineRule="auto"/>
              <w:ind w:firstLine="0" w:firstLineChars="0"/>
              <w:jc w:val="center"/>
              <w:rPr>
                <w:rFonts w:hint="default" w:ascii="Times New Roman" w:hAnsi="Times New Roman" w:cs="Times New Roman"/>
                <w:b/>
                <w:bCs/>
                <w:kern w:val="0"/>
                <w:sz w:val="21"/>
                <w:szCs w:val="21"/>
                <w:lang w:val="en-US" w:eastAsia="zh-CN"/>
              </w:rPr>
            </w:pPr>
            <w:r>
              <w:rPr>
                <w:rFonts w:hint="eastAsia" w:ascii="Times New Roman" w:hAnsi="Times New Roman" w:cs="Times New Roman"/>
                <w:b/>
                <w:bCs/>
                <w:kern w:val="0"/>
                <w:sz w:val="21"/>
                <w:szCs w:val="21"/>
                <w:lang w:val="en-US" w:eastAsia="zh-CN"/>
              </w:rPr>
              <w:t>范桥镇</w:t>
            </w:r>
          </w:p>
        </w:tc>
      </w:tr>
      <w:tr>
        <w:tblPrEx>
          <w:tblCellMar>
            <w:top w:w="0" w:type="dxa"/>
            <w:left w:w="108" w:type="dxa"/>
            <w:bottom w:w="0" w:type="dxa"/>
            <w:right w:w="108" w:type="dxa"/>
          </w:tblCellMar>
        </w:tblPrEx>
        <w:trPr>
          <w:trHeight w:val="510" w:hRule="atLeast"/>
          <w:jc w:val="center"/>
        </w:trPr>
        <w:tc>
          <w:tcPr>
            <w:tcW w:w="1733" w:type="dxa"/>
            <w:gridSpan w:val="2"/>
            <w:vMerge w:val="continue"/>
            <w:tcBorders>
              <w:top w:val="single" w:color="auto" w:sz="12" w:space="0"/>
              <w:left w:val="single" w:color="auto" w:sz="12" w:space="0"/>
              <w:bottom w:val="single" w:color="000000" w:sz="8" w:space="0"/>
              <w:right w:val="single" w:color="000000" w:sz="8" w:space="0"/>
            </w:tcBorders>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p>
        </w:tc>
        <w:tc>
          <w:tcPr>
            <w:tcW w:w="5974" w:type="dxa"/>
            <w:gridSpan w:val="3"/>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水土流失面积（km²）</w:t>
            </w:r>
          </w:p>
        </w:tc>
      </w:tr>
      <w:tr>
        <w:tblPrEx>
          <w:tblCellMar>
            <w:top w:w="0" w:type="dxa"/>
            <w:left w:w="108" w:type="dxa"/>
            <w:bottom w:w="0" w:type="dxa"/>
            <w:right w:w="108" w:type="dxa"/>
          </w:tblCellMar>
        </w:tblPrEx>
        <w:trPr>
          <w:trHeight w:val="282" w:hRule="atLeast"/>
          <w:jc w:val="center"/>
        </w:trPr>
        <w:tc>
          <w:tcPr>
            <w:tcW w:w="1733" w:type="dxa"/>
            <w:gridSpan w:val="2"/>
            <w:tcBorders>
              <w:top w:val="single" w:color="auto" w:sz="8" w:space="0"/>
              <w:left w:val="single" w:color="auto" w:sz="12" w:space="0"/>
              <w:bottom w:val="single" w:color="auto" w:sz="8" w:space="0"/>
              <w:right w:val="single" w:color="000000"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lang w:val="en-US" w:eastAsia="zh-CN"/>
              </w:rPr>
              <w:t>微度</w:t>
            </w:r>
            <w:r>
              <w:rPr>
                <w:rFonts w:ascii="Times New Roman" w:hAnsi="Times New Roman" w:eastAsia="仿宋_GB2312" w:cs="Times New Roman"/>
                <w:kern w:val="0"/>
                <w:sz w:val="21"/>
                <w:szCs w:val="21"/>
              </w:rPr>
              <w:t>（km²）</w:t>
            </w:r>
          </w:p>
        </w:tc>
        <w:tc>
          <w:tcPr>
            <w:tcW w:w="2017"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108.24</w:t>
            </w:r>
          </w:p>
        </w:tc>
        <w:tc>
          <w:tcPr>
            <w:tcW w:w="2055"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132.81</w:t>
            </w:r>
          </w:p>
        </w:tc>
        <w:tc>
          <w:tcPr>
            <w:tcW w:w="1902"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hint="default"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68.44</w:t>
            </w:r>
          </w:p>
        </w:tc>
      </w:tr>
      <w:tr>
        <w:tblPrEx>
          <w:tblCellMar>
            <w:top w:w="0" w:type="dxa"/>
            <w:left w:w="108" w:type="dxa"/>
            <w:bottom w:w="0" w:type="dxa"/>
            <w:right w:w="108" w:type="dxa"/>
          </w:tblCellMar>
        </w:tblPrEx>
        <w:trPr>
          <w:trHeight w:val="285" w:hRule="atLeast"/>
          <w:jc w:val="center"/>
        </w:trPr>
        <w:tc>
          <w:tcPr>
            <w:tcW w:w="782" w:type="dxa"/>
            <w:vMerge w:val="restart"/>
            <w:tcBorders>
              <w:top w:val="nil"/>
              <w:left w:val="single" w:color="auto" w:sz="12" w:space="0"/>
              <w:bottom w:val="single" w:color="000000"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w:t>
            </w:r>
          </w:p>
          <w:p>
            <w:pPr>
              <w:widowControl/>
              <w:bidi/>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流失</w:t>
            </w:r>
          </w:p>
          <w:p>
            <w:pPr>
              <w:widowControl/>
              <w:bidi/>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面积（km²）</w:t>
            </w:r>
          </w:p>
        </w:tc>
        <w:tc>
          <w:tcPr>
            <w:tcW w:w="951"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轻度</w:t>
            </w:r>
          </w:p>
        </w:tc>
        <w:tc>
          <w:tcPr>
            <w:tcW w:w="2017"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0.78</w:t>
            </w:r>
          </w:p>
        </w:tc>
        <w:tc>
          <w:tcPr>
            <w:tcW w:w="2055"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1.56</w:t>
            </w:r>
          </w:p>
        </w:tc>
        <w:tc>
          <w:tcPr>
            <w:tcW w:w="1902"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0.06</w:t>
            </w:r>
          </w:p>
        </w:tc>
      </w:tr>
      <w:tr>
        <w:tblPrEx>
          <w:tblCellMar>
            <w:top w:w="0" w:type="dxa"/>
            <w:left w:w="108" w:type="dxa"/>
            <w:bottom w:w="0" w:type="dxa"/>
            <w:right w:w="108" w:type="dxa"/>
          </w:tblCellMar>
        </w:tblPrEx>
        <w:trPr>
          <w:trHeight w:val="285" w:hRule="atLeast"/>
          <w:jc w:val="center"/>
        </w:trPr>
        <w:tc>
          <w:tcPr>
            <w:tcW w:w="782" w:type="dxa"/>
            <w:vMerge w:val="continue"/>
            <w:tcBorders>
              <w:top w:val="nil"/>
              <w:left w:val="single" w:color="auto" w:sz="12" w:space="0"/>
              <w:bottom w:val="single" w:color="000000"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p>
        </w:tc>
        <w:tc>
          <w:tcPr>
            <w:tcW w:w="951"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中度</w:t>
            </w:r>
          </w:p>
        </w:tc>
        <w:tc>
          <w:tcPr>
            <w:tcW w:w="2017"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1.07</w:t>
            </w:r>
          </w:p>
        </w:tc>
        <w:tc>
          <w:tcPr>
            <w:tcW w:w="2055"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3.15</w:t>
            </w:r>
          </w:p>
        </w:tc>
        <w:tc>
          <w:tcPr>
            <w:tcW w:w="1902"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0.09</w:t>
            </w:r>
          </w:p>
        </w:tc>
      </w:tr>
      <w:tr>
        <w:tblPrEx>
          <w:tblCellMar>
            <w:top w:w="0" w:type="dxa"/>
            <w:left w:w="108" w:type="dxa"/>
            <w:bottom w:w="0" w:type="dxa"/>
            <w:right w:w="108" w:type="dxa"/>
          </w:tblCellMar>
        </w:tblPrEx>
        <w:trPr>
          <w:trHeight w:val="285" w:hRule="atLeast"/>
          <w:jc w:val="center"/>
        </w:trPr>
        <w:tc>
          <w:tcPr>
            <w:tcW w:w="782" w:type="dxa"/>
            <w:vMerge w:val="continue"/>
            <w:tcBorders>
              <w:top w:val="nil"/>
              <w:left w:val="single" w:color="auto" w:sz="12" w:space="0"/>
              <w:bottom w:val="single" w:color="000000"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p>
        </w:tc>
        <w:tc>
          <w:tcPr>
            <w:tcW w:w="951"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强烈</w:t>
            </w:r>
          </w:p>
        </w:tc>
        <w:tc>
          <w:tcPr>
            <w:tcW w:w="2017"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2055"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0.17</w:t>
            </w:r>
          </w:p>
        </w:tc>
        <w:tc>
          <w:tcPr>
            <w:tcW w:w="1902"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0</w:t>
            </w:r>
          </w:p>
        </w:tc>
      </w:tr>
      <w:tr>
        <w:tblPrEx>
          <w:tblCellMar>
            <w:top w:w="0" w:type="dxa"/>
            <w:left w:w="108" w:type="dxa"/>
            <w:bottom w:w="0" w:type="dxa"/>
            <w:right w:w="108" w:type="dxa"/>
          </w:tblCellMar>
        </w:tblPrEx>
        <w:trPr>
          <w:trHeight w:val="285" w:hRule="atLeast"/>
          <w:jc w:val="center"/>
        </w:trPr>
        <w:tc>
          <w:tcPr>
            <w:tcW w:w="782" w:type="dxa"/>
            <w:vMerge w:val="continue"/>
            <w:tcBorders>
              <w:top w:val="nil"/>
              <w:left w:val="single" w:color="auto" w:sz="12" w:space="0"/>
              <w:bottom w:val="single" w:color="000000"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p>
        </w:tc>
        <w:tc>
          <w:tcPr>
            <w:tcW w:w="951"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极强烈</w:t>
            </w:r>
          </w:p>
        </w:tc>
        <w:tc>
          <w:tcPr>
            <w:tcW w:w="2017"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2055"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0.01</w:t>
            </w:r>
          </w:p>
        </w:tc>
        <w:tc>
          <w:tcPr>
            <w:tcW w:w="1902"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0</w:t>
            </w:r>
          </w:p>
        </w:tc>
      </w:tr>
      <w:tr>
        <w:tblPrEx>
          <w:tblCellMar>
            <w:top w:w="0" w:type="dxa"/>
            <w:left w:w="108" w:type="dxa"/>
            <w:bottom w:w="0" w:type="dxa"/>
            <w:right w:w="108" w:type="dxa"/>
          </w:tblCellMar>
        </w:tblPrEx>
        <w:trPr>
          <w:trHeight w:val="285" w:hRule="atLeast"/>
          <w:jc w:val="center"/>
        </w:trPr>
        <w:tc>
          <w:tcPr>
            <w:tcW w:w="782" w:type="dxa"/>
            <w:vMerge w:val="continue"/>
            <w:tcBorders>
              <w:top w:val="nil"/>
              <w:left w:val="single" w:color="auto" w:sz="12" w:space="0"/>
              <w:bottom w:val="single" w:color="000000"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p>
        </w:tc>
        <w:tc>
          <w:tcPr>
            <w:tcW w:w="951"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剧烈</w:t>
            </w:r>
          </w:p>
        </w:tc>
        <w:tc>
          <w:tcPr>
            <w:tcW w:w="2017"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2055"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1902"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0</w:t>
            </w:r>
          </w:p>
        </w:tc>
      </w:tr>
      <w:tr>
        <w:tblPrEx>
          <w:tblCellMar>
            <w:top w:w="0" w:type="dxa"/>
            <w:left w:w="108" w:type="dxa"/>
            <w:bottom w:w="0" w:type="dxa"/>
            <w:right w:w="108" w:type="dxa"/>
          </w:tblCellMar>
        </w:tblPrEx>
        <w:trPr>
          <w:trHeight w:val="285" w:hRule="atLeast"/>
          <w:jc w:val="center"/>
        </w:trPr>
        <w:tc>
          <w:tcPr>
            <w:tcW w:w="782" w:type="dxa"/>
            <w:vMerge w:val="continue"/>
            <w:tcBorders>
              <w:top w:val="nil"/>
              <w:left w:val="single" w:color="auto" w:sz="12" w:space="0"/>
              <w:bottom w:val="single" w:color="000000"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p>
        </w:tc>
        <w:tc>
          <w:tcPr>
            <w:tcW w:w="951"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小计</w:t>
            </w:r>
          </w:p>
        </w:tc>
        <w:tc>
          <w:tcPr>
            <w:tcW w:w="2017" w:type="dxa"/>
            <w:tcBorders>
              <w:top w:val="nil"/>
              <w:left w:val="nil"/>
              <w:bottom w:val="single" w:color="auto"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1.85</w:t>
            </w:r>
          </w:p>
        </w:tc>
        <w:tc>
          <w:tcPr>
            <w:tcW w:w="2055"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4.89</w:t>
            </w:r>
          </w:p>
        </w:tc>
        <w:tc>
          <w:tcPr>
            <w:tcW w:w="1902" w:type="dxa"/>
            <w:tcBorders>
              <w:top w:val="nil"/>
              <w:left w:val="single" w:color="auto" w:sz="8" w:space="0"/>
              <w:bottom w:val="single" w:color="000000" w:sz="8" w:space="0"/>
              <w:right w:val="single" w:color="auto" w:sz="8" w:space="0"/>
            </w:tcBorders>
            <w:vAlign w:val="center"/>
          </w:tcPr>
          <w:p>
            <w:pPr>
              <w:widowControl/>
              <w:bidi/>
              <w:spacing w:line="240" w:lineRule="auto"/>
              <w:ind w:firstLine="0" w:firstLineChars="0"/>
              <w:jc w:val="center"/>
              <w:rPr>
                <w:rFonts w:hint="default" w:ascii="Times New Roman" w:hAnsi="Times New Roman" w:cs="Times New Roman"/>
                <w:kern w:val="0"/>
                <w:sz w:val="21"/>
                <w:szCs w:val="21"/>
                <w:lang w:val="en-US" w:eastAsia="zh-CN"/>
              </w:rPr>
            </w:pPr>
            <w:r>
              <w:rPr>
                <w:rFonts w:hint="eastAsia" w:ascii="Times New Roman" w:hAnsi="Times New Roman" w:cs="Times New Roman"/>
                <w:kern w:val="0"/>
                <w:sz w:val="21"/>
                <w:szCs w:val="21"/>
                <w:lang w:val="en-US" w:eastAsia="zh-CN"/>
              </w:rPr>
              <w:t>0.15</w:t>
            </w:r>
          </w:p>
        </w:tc>
      </w:tr>
      <w:tr>
        <w:tblPrEx>
          <w:tblCellMar>
            <w:top w:w="0" w:type="dxa"/>
            <w:left w:w="108" w:type="dxa"/>
            <w:bottom w:w="0" w:type="dxa"/>
            <w:right w:w="108" w:type="dxa"/>
          </w:tblCellMar>
        </w:tblPrEx>
        <w:trPr>
          <w:trHeight w:val="285" w:hRule="atLeast"/>
          <w:jc w:val="center"/>
        </w:trPr>
        <w:tc>
          <w:tcPr>
            <w:tcW w:w="1733" w:type="dxa"/>
            <w:gridSpan w:val="2"/>
            <w:tcBorders>
              <w:top w:val="single" w:color="auto" w:sz="8" w:space="0"/>
              <w:left w:val="single" w:color="auto" w:sz="12" w:space="0"/>
              <w:bottom w:val="single" w:color="auto" w:sz="12" w:space="0"/>
              <w:right w:val="single" w:color="000000" w:sz="8" w:space="0"/>
            </w:tcBorders>
            <w:vAlign w:val="center"/>
          </w:tcPr>
          <w:p>
            <w:pPr>
              <w:widowControl/>
              <w:bidi/>
              <w:spacing w:line="240" w:lineRule="auto"/>
              <w:ind w:firstLine="0" w:firstLineChars="0"/>
              <w:jc w:val="center"/>
              <w:rPr>
                <w:rFonts w:ascii="Times New Roman" w:hAnsi="Times New Roman" w:eastAsia="仿宋_GB2312" w:cs="Times New Roman"/>
                <w:b/>
                <w:bCs/>
                <w:kern w:val="0"/>
                <w:sz w:val="21"/>
                <w:szCs w:val="21"/>
              </w:rPr>
            </w:pPr>
            <w:r>
              <w:rPr>
                <w:rFonts w:ascii="Times New Roman" w:hAnsi="Times New Roman" w:eastAsia="仿宋_GB2312" w:cs="Times New Roman"/>
                <w:b/>
                <w:bCs/>
                <w:kern w:val="0"/>
                <w:sz w:val="21"/>
                <w:szCs w:val="21"/>
              </w:rPr>
              <w:t>总面积（km²）</w:t>
            </w:r>
          </w:p>
        </w:tc>
        <w:tc>
          <w:tcPr>
            <w:tcW w:w="2017" w:type="dxa"/>
            <w:tcBorders>
              <w:top w:val="nil"/>
              <w:left w:val="nil"/>
              <w:bottom w:val="single" w:color="auto" w:sz="12"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eastAsia" w:ascii="Times New Roman" w:hAnsi="Times New Roman" w:cs="Times New Roman"/>
                <w:b/>
                <w:bCs/>
                <w:kern w:val="0"/>
                <w:sz w:val="21"/>
                <w:szCs w:val="21"/>
                <w:lang w:val="en-US" w:eastAsia="zh-CN"/>
              </w:rPr>
              <w:t>110.09</w:t>
            </w:r>
          </w:p>
        </w:tc>
        <w:tc>
          <w:tcPr>
            <w:tcW w:w="2055" w:type="dxa"/>
            <w:tcBorders>
              <w:top w:val="nil"/>
              <w:left w:val="nil"/>
              <w:bottom w:val="single" w:color="auto" w:sz="12" w:space="0"/>
              <w:right w:val="single" w:color="auto" w:sz="8" w:space="0"/>
            </w:tcBorders>
            <w:vAlign w:val="center"/>
          </w:tcPr>
          <w:p>
            <w:pPr>
              <w:widowControl/>
              <w:bidi/>
              <w:spacing w:line="240" w:lineRule="auto"/>
              <w:ind w:firstLine="0" w:firstLineChars="0"/>
              <w:jc w:val="center"/>
              <w:rPr>
                <w:rFonts w:hint="default" w:ascii="Times New Roman" w:hAnsi="Times New Roman" w:eastAsia="仿宋_GB2312" w:cs="Times New Roman"/>
                <w:b/>
                <w:bCs/>
                <w:kern w:val="0"/>
                <w:sz w:val="21"/>
                <w:szCs w:val="21"/>
                <w:lang w:val="en-US" w:eastAsia="zh-CN"/>
              </w:rPr>
            </w:pPr>
            <w:r>
              <w:rPr>
                <w:rFonts w:hint="eastAsia" w:ascii="Times New Roman" w:hAnsi="Times New Roman" w:cs="Times New Roman"/>
                <w:b/>
                <w:bCs/>
                <w:kern w:val="0"/>
                <w:sz w:val="21"/>
                <w:szCs w:val="21"/>
                <w:lang w:val="en-US" w:eastAsia="zh-CN"/>
              </w:rPr>
              <w:t>137.7</w:t>
            </w:r>
          </w:p>
        </w:tc>
        <w:tc>
          <w:tcPr>
            <w:tcW w:w="1902" w:type="dxa"/>
            <w:tcBorders>
              <w:top w:val="nil"/>
              <w:left w:val="nil"/>
              <w:bottom w:val="single" w:color="auto" w:sz="12" w:space="0"/>
              <w:right w:val="single" w:color="auto" w:sz="8" w:space="0"/>
            </w:tcBorders>
            <w:vAlign w:val="center"/>
          </w:tcPr>
          <w:p>
            <w:pPr>
              <w:widowControl/>
              <w:bidi/>
              <w:spacing w:line="240" w:lineRule="auto"/>
              <w:ind w:firstLine="0" w:firstLineChars="0"/>
              <w:jc w:val="center"/>
              <w:rPr>
                <w:rFonts w:hint="default" w:ascii="Times New Roman" w:hAnsi="Times New Roman" w:cs="Times New Roman"/>
                <w:b/>
                <w:bCs/>
                <w:kern w:val="0"/>
                <w:sz w:val="21"/>
                <w:szCs w:val="21"/>
                <w:lang w:val="en-US" w:eastAsia="zh-CN"/>
              </w:rPr>
            </w:pPr>
            <w:r>
              <w:rPr>
                <w:rFonts w:hint="eastAsia" w:ascii="Times New Roman" w:hAnsi="Times New Roman" w:cs="Times New Roman"/>
                <w:b/>
                <w:bCs/>
                <w:kern w:val="0"/>
                <w:sz w:val="21"/>
                <w:szCs w:val="21"/>
                <w:lang w:val="en-US" w:eastAsia="zh-CN"/>
              </w:rPr>
              <w:t>68.59</w:t>
            </w:r>
          </w:p>
        </w:tc>
      </w:tr>
    </w:tbl>
    <w:p>
      <w:pPr>
        <w:spacing w:line="360" w:lineRule="auto"/>
        <w:ind w:left="0" w:leftChars="0" w:firstLine="480" w:firstLineChars="200"/>
        <w:jc w:val="left"/>
      </w:pPr>
      <w:r>
        <w:rPr>
          <w:rFonts w:ascii="Times New Roman" w:hAnsi="Times New Roman" w:eastAsia="仿宋_GB2312" w:cs="Times New Roman"/>
          <w:sz w:val="24"/>
          <w:szCs w:val="22"/>
        </w:rPr>
        <w:t>根据《土壤侵蚀分类分级标准》及表</w:t>
      </w:r>
      <w:r>
        <w:rPr>
          <w:rFonts w:hint="eastAsia" w:cs="Times New Roman"/>
          <w:sz w:val="24"/>
          <w:szCs w:val="22"/>
          <w:lang w:val="en-US" w:eastAsia="zh-CN"/>
        </w:rPr>
        <w:t>2</w:t>
      </w:r>
      <w:r>
        <w:rPr>
          <w:rFonts w:ascii="Times New Roman" w:hAnsi="Times New Roman" w:eastAsia="仿宋_GB2312" w:cs="Times New Roman"/>
          <w:sz w:val="24"/>
          <w:szCs w:val="22"/>
        </w:rPr>
        <w:t>-1的统计数据，结合现场查勘，同时参考本工程地理位置、气候、降水、土壤特性相近的工程，选定本项目区土壤侵蚀模数背景值均值为</w:t>
      </w:r>
      <w:r>
        <w:rPr>
          <w:rFonts w:hint="eastAsia" w:ascii="Times New Roman" w:hAnsi="Times New Roman" w:eastAsia="仿宋_GB2312" w:cs="Times New Roman"/>
          <w:sz w:val="24"/>
          <w:szCs w:val="22"/>
        </w:rPr>
        <w:t>150</w:t>
      </w:r>
      <w:r>
        <w:rPr>
          <w:rFonts w:ascii="Times New Roman" w:hAnsi="Times New Roman" w:eastAsia="仿宋_GB2312" w:cs="Times New Roman"/>
          <w:sz w:val="24"/>
          <w:szCs w:val="22"/>
        </w:rPr>
        <w:t>t/</w:t>
      </w:r>
      <w:r>
        <w:rPr>
          <w:rFonts w:hint="eastAsia" w:ascii="Times New Roman" w:hAnsi="Times New Roman" w:eastAsia="仿宋_GB2312" w:cs="Times New Roman"/>
          <w:sz w:val="24"/>
          <w:szCs w:val="22"/>
        </w:rPr>
        <w:t>（</w:t>
      </w:r>
      <w:r>
        <w:rPr>
          <w:rFonts w:ascii="Times New Roman" w:hAnsi="Times New Roman" w:eastAsia="仿宋_GB2312" w:cs="Times New Roman"/>
          <w:sz w:val="24"/>
          <w:szCs w:val="22"/>
        </w:rPr>
        <w:t>km²</w:t>
      </w:r>
      <w:r>
        <w:rPr>
          <w:rFonts w:ascii="Times New Roman" w:hAnsi="Times New Roman" w:eastAsia="微软雅黑" w:cs="Times New Roman"/>
          <w:sz w:val="24"/>
          <w:szCs w:val="22"/>
        </w:rPr>
        <w:t>•</w:t>
      </w:r>
      <w:r>
        <w:rPr>
          <w:rFonts w:ascii="Times New Roman" w:hAnsi="Times New Roman" w:eastAsia="仿宋_GB2312" w:cs="Times New Roman"/>
          <w:sz w:val="24"/>
          <w:szCs w:val="22"/>
        </w:rPr>
        <w:t>a</w:t>
      </w:r>
      <w:r>
        <w:rPr>
          <w:rFonts w:hint="eastAsia" w:ascii="Times New Roman" w:hAnsi="Times New Roman" w:eastAsia="仿宋_GB2312" w:cs="Times New Roman"/>
          <w:sz w:val="24"/>
          <w:szCs w:val="22"/>
        </w:rPr>
        <w:t>）</w:t>
      </w:r>
      <w:r>
        <w:rPr>
          <w:rFonts w:ascii="Times New Roman" w:hAnsi="Times New Roman" w:eastAsia="仿宋_GB2312" w:cs="Times New Roman"/>
          <w:sz w:val="24"/>
          <w:szCs w:val="22"/>
        </w:rPr>
        <w:t>。</w:t>
      </w:r>
    </w:p>
    <w:p>
      <w:pPr>
        <w:pStyle w:val="4"/>
        <w:rPr>
          <w:rFonts w:hint="default" w:eastAsia="仿宋_GB2312"/>
          <w:lang w:val="en-US" w:eastAsia="zh-CN"/>
        </w:rPr>
      </w:pPr>
      <w:bookmarkStart w:id="55" w:name="_Toc50731625"/>
      <w:r>
        <w:rPr>
          <w:rFonts w:hint="eastAsia"/>
          <w:lang w:val="en-US" w:eastAsia="zh-CN"/>
        </w:rPr>
        <w:t>7</w:t>
      </w:r>
      <w:r>
        <w:t>.</w:t>
      </w:r>
      <w:r>
        <w:rPr>
          <w:rFonts w:hint="eastAsia"/>
          <w:lang w:val="en-US" w:eastAsia="zh-CN"/>
        </w:rPr>
        <w:t>2</w:t>
      </w:r>
      <w:r>
        <w:t xml:space="preserve"> </w:t>
      </w:r>
      <w:r>
        <w:rPr>
          <w:rFonts w:hint="eastAsia"/>
        </w:rPr>
        <w:t>预测单元</w:t>
      </w:r>
      <w:r>
        <w:rPr>
          <w:rFonts w:ascii="Times New Roman" w:hAnsi="Times New Roman" w:eastAsia="仿宋_GB2312" w:cs="Times New Roman"/>
          <w:sz w:val="24"/>
          <w:szCs w:val="22"/>
        </w:rPr>
        <w:t>、</w:t>
      </w:r>
      <w:r>
        <w:rPr>
          <w:rFonts w:hint="eastAsia"/>
        </w:rPr>
        <w:t>预测时段</w:t>
      </w:r>
      <w:bookmarkEnd w:id="55"/>
      <w:r>
        <w:rPr>
          <w:rFonts w:hint="eastAsia"/>
          <w:lang w:val="en-US" w:eastAsia="zh-CN"/>
        </w:rPr>
        <w:t>与土壤侵蚀模数</w:t>
      </w:r>
    </w:p>
    <w:p>
      <w:pPr>
        <w:ind w:firstLine="480"/>
      </w:pPr>
      <w:r>
        <w:rPr>
          <w:rFonts w:hint="eastAsia"/>
        </w:rPr>
        <w:t>（1）预测单元</w:t>
      </w:r>
    </w:p>
    <w:p>
      <w:pPr>
        <w:ind w:firstLine="480"/>
      </w:pPr>
      <w:r>
        <w:rPr>
          <w:rFonts w:cs="Times New Roman"/>
        </w:rPr>
        <w:t>根据本工程建设的特点以及</w:t>
      </w:r>
      <w:r>
        <w:rPr>
          <w:rFonts w:hint="eastAsia" w:cs="Times New Roman"/>
        </w:rPr>
        <w:t>布局，本工程水土流失预测划分为</w:t>
      </w:r>
      <w:r>
        <w:rPr>
          <w:rFonts w:hint="eastAsia" w:cs="Times New Roman"/>
          <w:lang w:val="en-US" w:eastAsia="zh-CN"/>
        </w:rPr>
        <w:t>集电线路</w:t>
      </w:r>
      <w:r>
        <w:rPr>
          <w:rFonts w:hint="eastAsia" w:cs="Times New Roman"/>
        </w:rPr>
        <w:t>区</w:t>
      </w:r>
      <w:r>
        <w:rPr>
          <w:rFonts w:hint="eastAsia" w:cs="Times New Roman"/>
          <w:lang w:eastAsia="zh-CN"/>
        </w:rPr>
        <w:t>、</w:t>
      </w:r>
      <w:r>
        <w:rPr>
          <w:rFonts w:hint="eastAsia" w:cs="Times New Roman"/>
          <w:lang w:val="en-US" w:eastAsia="zh-CN"/>
        </w:rPr>
        <w:t>施工道路</w:t>
      </w:r>
      <w:r>
        <w:rPr>
          <w:rFonts w:hint="eastAsia" w:cs="Times New Roman"/>
        </w:rPr>
        <w:t>区</w:t>
      </w:r>
      <w:r>
        <w:rPr>
          <w:rFonts w:hint="eastAsia" w:cs="Times New Roman"/>
          <w:lang w:val="en-US" w:eastAsia="zh-CN"/>
        </w:rPr>
        <w:t>和牵张场区</w:t>
      </w:r>
      <w:r>
        <w:rPr>
          <w:rFonts w:hint="eastAsia" w:cs="Times New Roman"/>
        </w:rPr>
        <w:t>共计</w:t>
      </w:r>
      <w:r>
        <w:rPr>
          <w:rFonts w:hint="eastAsia" w:cs="Times New Roman"/>
          <w:lang w:val="en-US" w:eastAsia="zh-CN"/>
        </w:rPr>
        <w:t>3</w:t>
      </w:r>
      <w:r>
        <w:rPr>
          <w:rFonts w:hint="eastAsia" w:cs="Times New Roman"/>
        </w:rPr>
        <w:t>个单元，具体预测单元见表</w:t>
      </w:r>
      <w:r>
        <w:rPr>
          <w:rFonts w:hint="eastAsia" w:cs="Times New Roman"/>
          <w:lang w:val="en-US" w:eastAsia="zh-CN"/>
        </w:rPr>
        <w:t>7</w:t>
      </w:r>
      <w:r>
        <w:rPr>
          <w:rFonts w:hint="eastAsia" w:cs="Times New Roman"/>
        </w:rPr>
        <w:t>-</w:t>
      </w:r>
      <w:r>
        <w:rPr>
          <w:rFonts w:hint="eastAsia" w:cs="Times New Roman"/>
          <w:lang w:val="en-US" w:eastAsia="zh-CN"/>
        </w:rPr>
        <w:t>2</w:t>
      </w:r>
      <w:r>
        <w:rPr>
          <w:rFonts w:hint="eastAsia" w:cs="Times New Roman"/>
        </w:rPr>
        <w:t>。</w:t>
      </w:r>
    </w:p>
    <w:p>
      <w:pPr>
        <w:pStyle w:val="12"/>
      </w:pPr>
      <w:r>
        <w:rPr>
          <w:rFonts w:hint="eastAsia"/>
        </w:rPr>
        <w:t>表</w:t>
      </w:r>
      <w:r>
        <w:rPr>
          <w:rFonts w:hint="eastAsia"/>
          <w:lang w:val="en-US" w:eastAsia="zh-CN"/>
        </w:rPr>
        <w:t>7</w:t>
      </w:r>
      <w:r>
        <w:rPr>
          <w:rFonts w:hint="eastAsia"/>
        </w:rPr>
        <w:t>-</w:t>
      </w:r>
      <w:r>
        <w:rPr>
          <w:rFonts w:hint="eastAsia"/>
          <w:lang w:val="en-US" w:eastAsia="zh-CN"/>
        </w:rPr>
        <w:t>2</w:t>
      </w:r>
      <w:r>
        <w:t xml:space="preserve"> </w:t>
      </w:r>
      <w:r>
        <w:rPr>
          <w:rFonts w:hint="eastAsia"/>
        </w:rPr>
        <w:t>工程水土流失预测单元表</w:t>
      </w:r>
    </w:p>
    <w:tbl>
      <w:tblPr>
        <w:tblStyle w:val="15"/>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82"/>
        <w:gridCol w:w="4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2" w:type="dxa"/>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预测单元</w:t>
            </w:r>
          </w:p>
        </w:tc>
        <w:tc>
          <w:tcPr>
            <w:tcW w:w="4511" w:type="dxa"/>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预测面积（hm²）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293" w:type="dxa"/>
            <w:gridSpan w:val="2"/>
            <w:vAlign w:val="center"/>
          </w:tcPr>
          <w:p>
            <w:pPr>
              <w:widowControl/>
              <w:spacing w:line="240" w:lineRule="auto"/>
              <w:ind w:firstLine="0" w:firstLineChars="0"/>
              <w:jc w:val="center"/>
              <w:rPr>
                <w:rFonts w:cs="Times New Roman"/>
                <w:b w:val="0"/>
                <w:bCs w:val="0"/>
                <w:kern w:val="0"/>
                <w:sz w:val="21"/>
                <w:szCs w:val="21"/>
              </w:rPr>
            </w:pPr>
            <w:r>
              <w:rPr>
                <w:rFonts w:cs="Times New Roman"/>
                <w:b/>
                <w:bCs/>
                <w:kern w:val="0"/>
                <w:sz w:val="21"/>
                <w:szCs w:val="21"/>
              </w:rPr>
              <w:t>施工期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2" w:type="dxa"/>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val="en-US" w:eastAsia="zh-CN"/>
              </w:rPr>
              <w:t>集电线路</w:t>
            </w:r>
            <w:r>
              <w:rPr>
                <w:rFonts w:cs="Times New Roman"/>
                <w:b w:val="0"/>
                <w:bCs w:val="0"/>
                <w:kern w:val="0"/>
                <w:sz w:val="21"/>
                <w:szCs w:val="21"/>
              </w:rPr>
              <w:t>区</w:t>
            </w:r>
          </w:p>
        </w:tc>
        <w:tc>
          <w:tcPr>
            <w:tcW w:w="4511" w:type="dxa"/>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2" w:type="dxa"/>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val="en-US" w:eastAsia="zh-CN"/>
              </w:rPr>
              <w:t>施工道路</w:t>
            </w:r>
            <w:r>
              <w:rPr>
                <w:rFonts w:cs="Times New Roman"/>
                <w:b w:val="0"/>
                <w:bCs w:val="0"/>
                <w:kern w:val="0"/>
                <w:sz w:val="21"/>
                <w:szCs w:val="21"/>
              </w:rPr>
              <w:t>区</w:t>
            </w:r>
          </w:p>
        </w:tc>
        <w:tc>
          <w:tcPr>
            <w:tcW w:w="4511" w:type="dxa"/>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782" w:type="dxa"/>
            <w:vAlign w:val="center"/>
          </w:tcPr>
          <w:p>
            <w:pPr>
              <w:widowControl/>
              <w:spacing w:line="240" w:lineRule="auto"/>
              <w:ind w:firstLine="0" w:firstLineChars="0"/>
              <w:jc w:val="center"/>
              <w:rPr>
                <w:rFonts w:hint="default" w:cs="Times New Roman"/>
                <w:b w:val="0"/>
                <w:bCs w:val="0"/>
                <w:kern w:val="0"/>
                <w:sz w:val="21"/>
                <w:szCs w:val="21"/>
                <w:lang w:val="en-US" w:eastAsia="zh-CN"/>
              </w:rPr>
            </w:pPr>
            <w:r>
              <w:rPr>
                <w:rFonts w:hint="eastAsia" w:cs="Times New Roman"/>
                <w:b w:val="0"/>
                <w:bCs w:val="0"/>
                <w:kern w:val="0"/>
                <w:sz w:val="21"/>
                <w:szCs w:val="21"/>
                <w:lang w:val="en-US" w:eastAsia="zh-CN"/>
              </w:rPr>
              <w:t>牵张</w:t>
            </w:r>
            <w:r>
              <w:rPr>
                <w:rFonts w:hint="default" w:cs="Times New Roman"/>
                <w:b w:val="0"/>
                <w:bCs w:val="0"/>
                <w:kern w:val="0"/>
                <w:sz w:val="21"/>
                <w:szCs w:val="21"/>
                <w:lang w:eastAsia="zh-CN"/>
              </w:rPr>
              <w:t>场</w:t>
            </w:r>
            <w:r>
              <w:rPr>
                <w:rFonts w:hint="eastAsia" w:cs="Times New Roman"/>
                <w:b w:val="0"/>
                <w:bCs w:val="0"/>
                <w:kern w:val="0"/>
                <w:sz w:val="21"/>
                <w:szCs w:val="21"/>
                <w:lang w:val="en-US" w:eastAsia="zh-CN"/>
              </w:rPr>
              <w:t>区</w:t>
            </w:r>
          </w:p>
        </w:tc>
        <w:tc>
          <w:tcPr>
            <w:tcW w:w="4511" w:type="dxa"/>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2" w:type="dxa"/>
            <w:vAlign w:val="center"/>
          </w:tcPr>
          <w:p>
            <w:pPr>
              <w:widowControl/>
              <w:spacing w:line="240" w:lineRule="auto"/>
              <w:ind w:firstLine="0" w:firstLineChars="0"/>
              <w:jc w:val="center"/>
              <w:rPr>
                <w:rFonts w:cs="Times New Roman"/>
                <w:b w:val="0"/>
                <w:bCs w:val="0"/>
                <w:kern w:val="0"/>
                <w:sz w:val="21"/>
                <w:szCs w:val="21"/>
              </w:rPr>
            </w:pPr>
            <w:r>
              <w:rPr>
                <w:rFonts w:cs="Times New Roman"/>
                <w:b w:val="0"/>
                <w:bCs w:val="0"/>
                <w:kern w:val="0"/>
                <w:sz w:val="21"/>
                <w:szCs w:val="21"/>
              </w:rPr>
              <w:t>合计</w:t>
            </w:r>
          </w:p>
        </w:tc>
        <w:tc>
          <w:tcPr>
            <w:tcW w:w="4511" w:type="dxa"/>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293" w:type="dxa"/>
            <w:gridSpan w:val="2"/>
            <w:vAlign w:val="center"/>
          </w:tcPr>
          <w:p>
            <w:pPr>
              <w:widowControl/>
              <w:spacing w:line="240" w:lineRule="auto"/>
              <w:ind w:firstLine="0" w:firstLineChars="0"/>
              <w:jc w:val="center"/>
              <w:rPr>
                <w:rFonts w:cs="Times New Roman"/>
                <w:b w:val="0"/>
                <w:bCs w:val="0"/>
                <w:kern w:val="0"/>
                <w:sz w:val="21"/>
                <w:szCs w:val="21"/>
              </w:rPr>
            </w:pPr>
            <w:r>
              <w:rPr>
                <w:rFonts w:cs="Times New Roman"/>
                <w:b/>
                <w:bCs/>
                <w:kern w:val="0"/>
                <w:sz w:val="21"/>
                <w:szCs w:val="21"/>
              </w:rPr>
              <w:t>自然恢复期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2" w:type="dxa"/>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val="en-US" w:eastAsia="zh-CN"/>
              </w:rPr>
              <w:t>集电线路</w:t>
            </w:r>
            <w:r>
              <w:rPr>
                <w:rFonts w:cs="Times New Roman"/>
                <w:b w:val="0"/>
                <w:bCs w:val="0"/>
                <w:kern w:val="0"/>
                <w:sz w:val="21"/>
                <w:szCs w:val="21"/>
              </w:rPr>
              <w:t>区</w:t>
            </w:r>
          </w:p>
        </w:tc>
        <w:tc>
          <w:tcPr>
            <w:tcW w:w="4511" w:type="dxa"/>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2" w:type="dxa"/>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val="en-US" w:eastAsia="zh-CN"/>
              </w:rPr>
              <w:t>施工道路</w:t>
            </w:r>
            <w:r>
              <w:rPr>
                <w:rFonts w:cs="Times New Roman"/>
                <w:b w:val="0"/>
                <w:bCs w:val="0"/>
                <w:kern w:val="0"/>
                <w:sz w:val="21"/>
                <w:szCs w:val="21"/>
              </w:rPr>
              <w:t>区</w:t>
            </w:r>
          </w:p>
        </w:tc>
        <w:tc>
          <w:tcPr>
            <w:tcW w:w="4511" w:type="dxa"/>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2" w:type="dxa"/>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val="en-US" w:eastAsia="zh-CN"/>
              </w:rPr>
              <w:t>牵张</w:t>
            </w:r>
            <w:r>
              <w:rPr>
                <w:rFonts w:hint="default" w:cs="Times New Roman"/>
                <w:b w:val="0"/>
                <w:bCs w:val="0"/>
                <w:kern w:val="0"/>
                <w:sz w:val="21"/>
                <w:szCs w:val="21"/>
                <w:lang w:eastAsia="zh-CN"/>
              </w:rPr>
              <w:t>场</w:t>
            </w:r>
            <w:r>
              <w:rPr>
                <w:rFonts w:hint="eastAsia" w:cs="Times New Roman"/>
                <w:b w:val="0"/>
                <w:bCs w:val="0"/>
                <w:kern w:val="0"/>
                <w:sz w:val="21"/>
                <w:szCs w:val="21"/>
                <w:lang w:val="en-US" w:eastAsia="zh-CN"/>
              </w:rPr>
              <w:t>区</w:t>
            </w:r>
          </w:p>
        </w:tc>
        <w:tc>
          <w:tcPr>
            <w:tcW w:w="4511" w:type="dxa"/>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782" w:type="dxa"/>
            <w:vAlign w:val="center"/>
          </w:tcPr>
          <w:p>
            <w:pPr>
              <w:widowControl/>
              <w:spacing w:line="240" w:lineRule="auto"/>
              <w:ind w:firstLine="0" w:firstLineChars="0"/>
              <w:jc w:val="center"/>
              <w:rPr>
                <w:rFonts w:hint="eastAsia" w:cs="Times New Roman"/>
                <w:b w:val="0"/>
                <w:bCs w:val="0"/>
                <w:kern w:val="0"/>
                <w:sz w:val="21"/>
                <w:szCs w:val="21"/>
                <w:lang w:val="en-US" w:eastAsia="zh-CN"/>
              </w:rPr>
            </w:pPr>
            <w:r>
              <w:rPr>
                <w:rFonts w:cs="Times New Roman"/>
                <w:b w:val="0"/>
                <w:bCs w:val="0"/>
                <w:kern w:val="0"/>
                <w:sz w:val="21"/>
                <w:szCs w:val="21"/>
              </w:rPr>
              <w:t>合计</w:t>
            </w:r>
          </w:p>
        </w:tc>
        <w:tc>
          <w:tcPr>
            <w:tcW w:w="4511" w:type="dxa"/>
            <w:vAlign w:val="center"/>
          </w:tcPr>
          <w:p>
            <w:pPr>
              <w:widowControl/>
              <w:spacing w:line="240" w:lineRule="auto"/>
              <w:ind w:firstLine="0" w:firstLineChars="0"/>
              <w:jc w:val="center"/>
              <w:rPr>
                <w:rFonts w:hint="default" w:cs="Times New Roman"/>
                <w:b w:val="0"/>
                <w:bCs w:val="0"/>
                <w:kern w:val="0"/>
                <w:sz w:val="21"/>
                <w:szCs w:val="21"/>
                <w:lang w:val="en-US" w:eastAsia="zh-CN"/>
              </w:rPr>
            </w:pPr>
            <w:r>
              <w:rPr>
                <w:rFonts w:hint="eastAsia" w:cs="Times New Roman"/>
                <w:b w:val="0"/>
                <w:bCs w:val="0"/>
                <w:kern w:val="0"/>
                <w:sz w:val="21"/>
                <w:szCs w:val="21"/>
                <w:lang w:val="en-US" w:eastAsia="zh-CN"/>
              </w:rPr>
              <w:t>2.83</w:t>
            </w:r>
          </w:p>
        </w:tc>
      </w:tr>
    </w:tbl>
    <w:p>
      <w:pPr>
        <w:ind w:firstLine="480"/>
        <w:rPr>
          <w:rFonts w:ascii="Times New Roman" w:hAnsi="Times New Roman" w:cs="Times New Roman"/>
        </w:rPr>
      </w:pPr>
      <w:r>
        <w:rPr>
          <w:rFonts w:hint="eastAsia" w:ascii="Times New Roman" w:hAnsi="Times New Roman" w:cs="Times New Roman"/>
        </w:rPr>
        <w:t>（2）预测时段</w:t>
      </w:r>
    </w:p>
    <w:p>
      <w:pPr>
        <w:ind w:firstLine="480"/>
        <w:rPr>
          <w:rFonts w:ascii="Times New Roman" w:hAnsi="Times New Roman" w:eastAsia="仿宋_GB2312" w:cs="Times New Roman"/>
          <w:b/>
          <w:bCs/>
          <w:kern w:val="28"/>
          <w:szCs w:val="32"/>
        </w:rPr>
      </w:pPr>
      <w:r>
        <w:rPr>
          <w:rFonts w:ascii="Times New Roman" w:hAnsi="Times New Roman" w:cs="Times New Roman"/>
        </w:rPr>
        <w:t>按照《生产建设项目水土保持技术标准》规定，水土流失预测时段分为施工期（含施工准备期）和自然恢复期两个时段。</w:t>
      </w:r>
      <w:r>
        <w:rPr>
          <w:rFonts w:hint="eastAsia" w:ascii="Times New Roman" w:hAnsi="Times New Roman" w:cs="Times New Roman"/>
        </w:rPr>
        <w:t>具体预测时段见表</w:t>
      </w:r>
      <w:r>
        <w:rPr>
          <w:rFonts w:hint="eastAsia" w:cs="Times New Roman"/>
          <w:lang w:val="en-US" w:eastAsia="zh-CN"/>
        </w:rPr>
        <w:t>7</w:t>
      </w:r>
      <w:r>
        <w:rPr>
          <w:rFonts w:hint="eastAsia" w:ascii="Times New Roman" w:hAnsi="Times New Roman" w:cs="Times New Roman"/>
        </w:rPr>
        <w:t>-</w:t>
      </w:r>
      <w:r>
        <w:rPr>
          <w:rFonts w:hint="eastAsia" w:cs="Times New Roman"/>
          <w:lang w:val="en-US" w:eastAsia="zh-CN"/>
        </w:rPr>
        <w:t>3</w:t>
      </w:r>
      <w:r>
        <w:rPr>
          <w:rFonts w:hint="eastAsia" w:ascii="Times New Roman" w:hAnsi="Times New Roman" w:cs="Times New Roman"/>
        </w:rPr>
        <w:t>。</w:t>
      </w:r>
    </w:p>
    <w:p>
      <w:pPr>
        <w:jc w:val="center"/>
        <w:rPr>
          <w:rFonts w:ascii="Times New Roman" w:hAnsi="Times New Roman" w:eastAsia="仿宋_GB2312" w:cs="Times New Roman"/>
          <w:b/>
          <w:bCs/>
          <w:kern w:val="28"/>
          <w:szCs w:val="32"/>
        </w:rPr>
      </w:pPr>
      <w:r>
        <w:rPr>
          <w:rFonts w:ascii="Times New Roman" w:hAnsi="Times New Roman" w:eastAsia="仿宋_GB2312" w:cs="Times New Roman"/>
          <w:b/>
          <w:bCs/>
          <w:kern w:val="28"/>
          <w:szCs w:val="32"/>
        </w:rPr>
        <w:t>表</w:t>
      </w:r>
      <w:r>
        <w:rPr>
          <w:rFonts w:hint="eastAsia" w:cs="Times New Roman"/>
          <w:b/>
          <w:bCs/>
          <w:kern w:val="28"/>
          <w:szCs w:val="32"/>
          <w:lang w:val="en-US" w:eastAsia="zh-CN"/>
        </w:rPr>
        <w:t>7</w:t>
      </w:r>
      <w:r>
        <w:rPr>
          <w:rFonts w:ascii="Times New Roman" w:hAnsi="Times New Roman" w:eastAsia="仿宋_GB2312" w:cs="Times New Roman"/>
          <w:b/>
          <w:bCs/>
          <w:kern w:val="28"/>
          <w:szCs w:val="32"/>
        </w:rPr>
        <w:t>-</w:t>
      </w:r>
      <w:r>
        <w:rPr>
          <w:rFonts w:hint="eastAsia" w:cs="Times New Roman"/>
          <w:b/>
          <w:bCs/>
          <w:kern w:val="28"/>
          <w:szCs w:val="32"/>
          <w:lang w:val="en-US" w:eastAsia="zh-CN"/>
        </w:rPr>
        <w:t>3</w:t>
      </w:r>
      <w:r>
        <w:rPr>
          <w:rFonts w:ascii="Times New Roman" w:hAnsi="Times New Roman" w:eastAsia="仿宋_GB2312" w:cs="Times New Roman"/>
          <w:b/>
          <w:bCs/>
          <w:kern w:val="28"/>
          <w:szCs w:val="32"/>
        </w:rPr>
        <w:t>本项目各分区水土流失预测时段一览表</w:t>
      </w:r>
    </w:p>
    <w:tbl>
      <w:tblPr>
        <w:tblStyle w:val="15"/>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176"/>
        <w:gridCol w:w="2344"/>
        <w:gridCol w:w="1900"/>
        <w:gridCol w:w="309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46" w:hRule="atLeast"/>
          <w:jc w:val="center"/>
        </w:trPr>
        <w:tc>
          <w:tcPr>
            <w:tcW w:w="690" w:type="pct"/>
            <w:vAlign w:val="center"/>
          </w:tcPr>
          <w:p>
            <w:pPr>
              <w:widowControl/>
              <w:spacing w:line="240" w:lineRule="auto"/>
              <w:ind w:firstLine="0" w:firstLineChars="0"/>
              <w:jc w:val="center"/>
              <w:rPr>
                <w:rFonts w:cs="Times New Roman"/>
                <w:b w:val="0"/>
                <w:bCs w:val="0"/>
                <w:kern w:val="0"/>
                <w:sz w:val="21"/>
                <w:szCs w:val="21"/>
              </w:rPr>
            </w:pPr>
            <w:r>
              <w:rPr>
                <w:rFonts w:cs="Times New Roman"/>
                <w:b w:val="0"/>
                <w:bCs w:val="0"/>
                <w:kern w:val="0"/>
                <w:sz w:val="21"/>
                <w:szCs w:val="21"/>
              </w:rPr>
              <w:t>阶段</w:t>
            </w:r>
          </w:p>
        </w:tc>
        <w:tc>
          <w:tcPr>
            <w:tcW w:w="1375" w:type="pct"/>
            <w:vAlign w:val="center"/>
          </w:tcPr>
          <w:p>
            <w:pPr>
              <w:widowControl/>
              <w:spacing w:line="240" w:lineRule="auto"/>
              <w:ind w:firstLine="0" w:firstLineChars="0"/>
              <w:jc w:val="center"/>
              <w:rPr>
                <w:rFonts w:cs="Times New Roman"/>
                <w:b w:val="0"/>
                <w:bCs w:val="0"/>
                <w:kern w:val="0"/>
                <w:sz w:val="21"/>
                <w:szCs w:val="21"/>
              </w:rPr>
            </w:pPr>
            <w:r>
              <w:rPr>
                <w:rFonts w:cs="Times New Roman"/>
                <w:b w:val="0"/>
                <w:bCs w:val="0"/>
                <w:kern w:val="0"/>
                <w:sz w:val="21"/>
                <w:szCs w:val="21"/>
              </w:rPr>
              <w:t>预测分区（单元）</w:t>
            </w:r>
          </w:p>
        </w:tc>
        <w:tc>
          <w:tcPr>
            <w:tcW w:w="1115" w:type="pct"/>
            <w:vAlign w:val="center"/>
          </w:tcPr>
          <w:p>
            <w:pPr>
              <w:widowControl/>
              <w:spacing w:line="240" w:lineRule="auto"/>
              <w:ind w:firstLine="0" w:firstLineChars="0"/>
              <w:jc w:val="center"/>
              <w:rPr>
                <w:rFonts w:cs="Times New Roman"/>
                <w:b w:val="0"/>
                <w:bCs w:val="0"/>
                <w:kern w:val="0"/>
                <w:sz w:val="21"/>
                <w:szCs w:val="21"/>
              </w:rPr>
            </w:pPr>
            <w:r>
              <w:rPr>
                <w:rFonts w:cs="Times New Roman"/>
                <w:b w:val="0"/>
                <w:bCs w:val="0"/>
                <w:kern w:val="0"/>
                <w:sz w:val="21"/>
                <w:szCs w:val="21"/>
              </w:rPr>
              <w:t>预测时段（年）</w:t>
            </w:r>
          </w:p>
        </w:tc>
        <w:tc>
          <w:tcPr>
            <w:tcW w:w="1818" w:type="pct"/>
            <w:vAlign w:val="center"/>
          </w:tcPr>
          <w:p>
            <w:pPr>
              <w:widowControl/>
              <w:spacing w:line="240" w:lineRule="auto"/>
              <w:ind w:firstLine="0" w:firstLineChars="0"/>
              <w:jc w:val="center"/>
              <w:rPr>
                <w:rFonts w:cs="Times New Roman"/>
                <w:b w:val="0"/>
                <w:bCs w:val="0"/>
                <w:kern w:val="0"/>
                <w:sz w:val="21"/>
                <w:szCs w:val="21"/>
              </w:rPr>
            </w:pPr>
            <w:r>
              <w:rPr>
                <w:rFonts w:cs="Times New Roman"/>
                <w:b w:val="0"/>
                <w:bCs w:val="0"/>
                <w:kern w:val="0"/>
                <w:sz w:val="21"/>
                <w:szCs w:val="21"/>
              </w:rPr>
              <w:t>水土流失因素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4" w:hRule="atLeast"/>
          <w:jc w:val="center"/>
        </w:trPr>
        <w:tc>
          <w:tcPr>
            <w:tcW w:w="690" w:type="pct"/>
            <w:vMerge w:val="restart"/>
            <w:vAlign w:val="center"/>
          </w:tcPr>
          <w:p>
            <w:pPr>
              <w:widowControl/>
              <w:spacing w:line="240" w:lineRule="auto"/>
              <w:ind w:firstLine="0" w:firstLineChars="0"/>
              <w:jc w:val="center"/>
              <w:rPr>
                <w:rFonts w:cs="Times New Roman"/>
                <w:b w:val="0"/>
                <w:bCs w:val="0"/>
                <w:kern w:val="0"/>
                <w:sz w:val="21"/>
                <w:szCs w:val="21"/>
              </w:rPr>
            </w:pPr>
            <w:r>
              <w:rPr>
                <w:rFonts w:cs="Times New Roman"/>
                <w:b w:val="0"/>
                <w:bCs w:val="0"/>
                <w:kern w:val="0"/>
                <w:sz w:val="21"/>
                <w:szCs w:val="21"/>
              </w:rPr>
              <w:t>施工期</w:t>
            </w:r>
          </w:p>
        </w:tc>
        <w:tc>
          <w:tcPr>
            <w:tcW w:w="1375" w:type="pct"/>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eastAsia="zh-CN"/>
              </w:rPr>
              <w:t>集电线路</w:t>
            </w:r>
            <w:r>
              <w:rPr>
                <w:rFonts w:hint="eastAsia" w:cs="Times New Roman"/>
                <w:b w:val="0"/>
                <w:bCs w:val="0"/>
                <w:kern w:val="0"/>
                <w:sz w:val="21"/>
                <w:szCs w:val="21"/>
              </w:rPr>
              <w:t>区</w:t>
            </w:r>
          </w:p>
        </w:tc>
        <w:tc>
          <w:tcPr>
            <w:tcW w:w="1115" w:type="pct"/>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0.25</w:t>
            </w:r>
          </w:p>
        </w:tc>
        <w:tc>
          <w:tcPr>
            <w:tcW w:w="1818" w:type="pct"/>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管线开挖、角钢塔基坑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7" w:hRule="atLeast"/>
          <w:jc w:val="center"/>
        </w:trPr>
        <w:tc>
          <w:tcPr>
            <w:tcW w:w="690" w:type="pct"/>
            <w:vMerge w:val="continue"/>
            <w:vAlign w:val="center"/>
          </w:tcPr>
          <w:p>
            <w:pPr>
              <w:widowControl/>
              <w:spacing w:line="240" w:lineRule="auto"/>
              <w:ind w:firstLine="0" w:firstLineChars="0"/>
              <w:jc w:val="center"/>
              <w:rPr>
                <w:rFonts w:cs="Times New Roman"/>
                <w:b w:val="0"/>
                <w:bCs w:val="0"/>
                <w:kern w:val="0"/>
                <w:sz w:val="21"/>
                <w:szCs w:val="21"/>
              </w:rPr>
            </w:pPr>
          </w:p>
        </w:tc>
        <w:tc>
          <w:tcPr>
            <w:tcW w:w="1375" w:type="pct"/>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eastAsia="zh-CN"/>
              </w:rPr>
              <w:t>施工道路</w:t>
            </w:r>
            <w:r>
              <w:rPr>
                <w:rFonts w:hint="eastAsia" w:cs="Times New Roman"/>
                <w:b w:val="0"/>
                <w:bCs w:val="0"/>
                <w:kern w:val="0"/>
                <w:sz w:val="21"/>
                <w:szCs w:val="21"/>
              </w:rPr>
              <w:t>区</w:t>
            </w:r>
          </w:p>
        </w:tc>
        <w:tc>
          <w:tcPr>
            <w:tcW w:w="1115" w:type="pct"/>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0.25</w:t>
            </w:r>
          </w:p>
        </w:tc>
        <w:tc>
          <w:tcPr>
            <w:tcW w:w="1818" w:type="pct"/>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铺设钢板、土地整治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384" w:hRule="atLeast"/>
          <w:jc w:val="center"/>
        </w:trPr>
        <w:tc>
          <w:tcPr>
            <w:tcW w:w="690" w:type="pct"/>
            <w:vMerge w:val="continue"/>
            <w:vAlign w:val="center"/>
          </w:tcPr>
          <w:p>
            <w:pPr>
              <w:widowControl/>
              <w:spacing w:line="240" w:lineRule="auto"/>
              <w:ind w:firstLine="0" w:firstLineChars="0"/>
              <w:jc w:val="center"/>
              <w:rPr>
                <w:rFonts w:cs="Times New Roman"/>
                <w:b w:val="0"/>
                <w:bCs w:val="0"/>
                <w:kern w:val="0"/>
                <w:sz w:val="21"/>
                <w:szCs w:val="21"/>
              </w:rPr>
            </w:pPr>
          </w:p>
        </w:tc>
        <w:tc>
          <w:tcPr>
            <w:tcW w:w="1375" w:type="pct"/>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eastAsia="zh-CN"/>
              </w:rPr>
              <w:t>牵张场</w:t>
            </w:r>
            <w:r>
              <w:rPr>
                <w:rFonts w:hint="eastAsia" w:cs="Times New Roman"/>
                <w:b w:val="0"/>
                <w:bCs w:val="0"/>
                <w:kern w:val="0"/>
                <w:sz w:val="21"/>
                <w:szCs w:val="21"/>
              </w:rPr>
              <w:t>区</w:t>
            </w:r>
          </w:p>
        </w:tc>
        <w:tc>
          <w:tcPr>
            <w:tcW w:w="1115" w:type="pct"/>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0.25</w:t>
            </w:r>
          </w:p>
        </w:tc>
        <w:tc>
          <w:tcPr>
            <w:tcW w:w="1818" w:type="pct"/>
            <w:vAlign w:val="center"/>
          </w:tcPr>
          <w:p>
            <w:pPr>
              <w:widowControl/>
              <w:spacing w:line="240" w:lineRule="auto"/>
              <w:ind w:firstLine="0" w:firstLineChars="0"/>
              <w:jc w:val="center"/>
              <w:rPr>
                <w:rFonts w:hint="default" w:eastAsia="仿宋_GB2312" w:cs="Times New Roman"/>
                <w:b w:val="0"/>
                <w:bCs w:val="0"/>
                <w:kern w:val="0"/>
                <w:sz w:val="21"/>
                <w:szCs w:val="21"/>
                <w:lang w:val="en-US" w:eastAsia="zh-CN"/>
              </w:rPr>
            </w:pPr>
            <w:r>
              <w:rPr>
                <w:rFonts w:hint="eastAsia" w:cs="Times New Roman"/>
                <w:b w:val="0"/>
                <w:bCs w:val="0"/>
                <w:kern w:val="0"/>
                <w:sz w:val="21"/>
                <w:szCs w:val="21"/>
                <w:lang w:val="en-US" w:eastAsia="zh-CN"/>
              </w:rPr>
              <w:t>土地整治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10" w:hRule="atLeast"/>
          <w:jc w:val="center"/>
        </w:trPr>
        <w:tc>
          <w:tcPr>
            <w:tcW w:w="690" w:type="pct"/>
            <w:vMerge w:val="restart"/>
            <w:vAlign w:val="center"/>
          </w:tcPr>
          <w:p>
            <w:pPr>
              <w:widowControl/>
              <w:spacing w:line="240" w:lineRule="auto"/>
              <w:ind w:firstLine="0" w:firstLineChars="0"/>
              <w:jc w:val="center"/>
              <w:rPr>
                <w:rFonts w:cs="Times New Roman"/>
                <w:b w:val="0"/>
                <w:bCs w:val="0"/>
                <w:kern w:val="0"/>
                <w:sz w:val="21"/>
                <w:szCs w:val="21"/>
              </w:rPr>
            </w:pPr>
            <w:r>
              <w:rPr>
                <w:rFonts w:cs="Times New Roman"/>
                <w:b w:val="0"/>
                <w:bCs w:val="0"/>
                <w:kern w:val="0"/>
                <w:sz w:val="21"/>
                <w:szCs w:val="21"/>
              </w:rPr>
              <w:t>自然</w:t>
            </w:r>
          </w:p>
          <w:p>
            <w:pPr>
              <w:widowControl/>
              <w:spacing w:line="240" w:lineRule="auto"/>
              <w:ind w:firstLine="0" w:firstLineChars="0"/>
              <w:jc w:val="center"/>
              <w:rPr>
                <w:rFonts w:cs="Times New Roman"/>
                <w:b w:val="0"/>
                <w:bCs w:val="0"/>
                <w:kern w:val="0"/>
                <w:sz w:val="21"/>
                <w:szCs w:val="21"/>
              </w:rPr>
            </w:pPr>
            <w:r>
              <w:rPr>
                <w:rFonts w:cs="Times New Roman"/>
                <w:b w:val="0"/>
                <w:bCs w:val="0"/>
                <w:kern w:val="0"/>
                <w:sz w:val="21"/>
                <w:szCs w:val="21"/>
              </w:rPr>
              <w:t>恢复期</w:t>
            </w:r>
          </w:p>
        </w:tc>
        <w:tc>
          <w:tcPr>
            <w:tcW w:w="2344" w:type="dxa"/>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eastAsia="zh-CN"/>
              </w:rPr>
              <w:t>集电线路</w:t>
            </w:r>
            <w:r>
              <w:rPr>
                <w:rFonts w:hint="eastAsia" w:cs="Times New Roman"/>
                <w:b w:val="0"/>
                <w:bCs w:val="0"/>
                <w:kern w:val="0"/>
                <w:sz w:val="21"/>
                <w:szCs w:val="21"/>
              </w:rPr>
              <w:t>区</w:t>
            </w:r>
          </w:p>
        </w:tc>
        <w:tc>
          <w:tcPr>
            <w:tcW w:w="1115" w:type="pct"/>
            <w:vAlign w:val="center"/>
          </w:tcPr>
          <w:p>
            <w:pPr>
              <w:widowControl/>
              <w:spacing w:line="240" w:lineRule="auto"/>
              <w:ind w:firstLine="0" w:firstLineChars="0"/>
              <w:jc w:val="center"/>
              <w:rPr>
                <w:rFonts w:hint="eastAsia" w:eastAsia="仿宋_GB2312" w:cs="Times New Roman"/>
                <w:b w:val="0"/>
                <w:bCs w:val="0"/>
                <w:kern w:val="0"/>
                <w:sz w:val="21"/>
                <w:szCs w:val="21"/>
                <w:lang w:val="en-US" w:eastAsia="zh-CN"/>
              </w:rPr>
            </w:pPr>
            <w:r>
              <w:rPr>
                <w:rFonts w:hint="eastAsia" w:cs="Times New Roman"/>
                <w:b w:val="0"/>
                <w:bCs w:val="0"/>
                <w:kern w:val="0"/>
                <w:sz w:val="21"/>
                <w:szCs w:val="21"/>
                <w:lang w:val="en-US" w:eastAsia="zh-CN"/>
              </w:rPr>
              <w:t>2</w:t>
            </w:r>
          </w:p>
        </w:tc>
        <w:tc>
          <w:tcPr>
            <w:tcW w:w="1818" w:type="pct"/>
            <w:vMerge w:val="restart"/>
            <w:vAlign w:val="center"/>
          </w:tcPr>
          <w:p>
            <w:pPr>
              <w:widowControl/>
              <w:spacing w:line="240" w:lineRule="auto"/>
              <w:ind w:firstLine="0" w:firstLineChars="0"/>
              <w:jc w:val="center"/>
              <w:rPr>
                <w:rFonts w:cs="Times New Roman"/>
                <w:b w:val="0"/>
                <w:bCs w:val="0"/>
                <w:kern w:val="0"/>
                <w:sz w:val="21"/>
                <w:szCs w:val="21"/>
              </w:rPr>
            </w:pPr>
            <w:r>
              <w:rPr>
                <w:rFonts w:cs="Times New Roman"/>
                <w:b w:val="0"/>
                <w:bCs w:val="0"/>
                <w:kern w:val="0"/>
                <w:sz w:val="21"/>
                <w:szCs w:val="21"/>
              </w:rPr>
              <w:t>植被尚未完全恢复，水土保持功能不能完全发挥效益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690" w:type="pct"/>
            <w:vMerge w:val="continue"/>
            <w:vAlign w:val="center"/>
          </w:tcPr>
          <w:p>
            <w:pPr>
              <w:jc w:val="center"/>
              <w:rPr>
                <w:rFonts w:ascii="Times New Roman" w:hAnsi="Times New Roman" w:eastAsia="仿宋_GB2312" w:cs="Times New Roman"/>
                <w:snapToGrid w:val="0"/>
                <w:szCs w:val="21"/>
              </w:rPr>
            </w:pPr>
          </w:p>
        </w:tc>
        <w:tc>
          <w:tcPr>
            <w:tcW w:w="2344" w:type="dxa"/>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eastAsia="zh-CN"/>
              </w:rPr>
              <w:t>施工道路</w:t>
            </w:r>
            <w:r>
              <w:rPr>
                <w:rFonts w:hint="eastAsia" w:cs="Times New Roman"/>
                <w:b w:val="0"/>
                <w:bCs w:val="0"/>
                <w:kern w:val="0"/>
                <w:sz w:val="21"/>
                <w:szCs w:val="21"/>
              </w:rPr>
              <w:t>区</w:t>
            </w:r>
          </w:p>
        </w:tc>
        <w:tc>
          <w:tcPr>
            <w:tcW w:w="1115" w:type="pct"/>
            <w:vAlign w:val="center"/>
          </w:tcPr>
          <w:p>
            <w:pPr>
              <w:widowControl/>
              <w:spacing w:line="240" w:lineRule="auto"/>
              <w:ind w:firstLine="0" w:firstLineChars="0"/>
              <w:jc w:val="center"/>
              <w:rPr>
                <w:rFonts w:hint="eastAsia" w:eastAsia="仿宋_GB2312" w:cs="Times New Roman"/>
                <w:b w:val="0"/>
                <w:bCs w:val="0"/>
                <w:kern w:val="0"/>
                <w:sz w:val="21"/>
                <w:szCs w:val="21"/>
                <w:lang w:val="en-US" w:eastAsia="zh-CN"/>
              </w:rPr>
            </w:pPr>
            <w:r>
              <w:rPr>
                <w:rFonts w:hint="eastAsia" w:cs="Times New Roman"/>
                <w:b w:val="0"/>
                <w:bCs w:val="0"/>
                <w:kern w:val="0"/>
                <w:sz w:val="21"/>
                <w:szCs w:val="21"/>
                <w:lang w:val="en-US" w:eastAsia="zh-CN"/>
              </w:rPr>
              <w:t>2</w:t>
            </w:r>
          </w:p>
        </w:tc>
        <w:tc>
          <w:tcPr>
            <w:tcW w:w="1818" w:type="pct"/>
            <w:vMerge w:val="continue"/>
            <w:vAlign w:val="center"/>
          </w:tcPr>
          <w:p>
            <w:pPr>
              <w:jc w:val="center"/>
              <w:rPr>
                <w:rFonts w:ascii="Times New Roman" w:hAnsi="Times New Roman"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0" w:hRule="atLeast"/>
          <w:jc w:val="center"/>
        </w:trPr>
        <w:tc>
          <w:tcPr>
            <w:tcW w:w="690" w:type="pct"/>
            <w:vMerge w:val="continue"/>
            <w:vAlign w:val="center"/>
          </w:tcPr>
          <w:p>
            <w:pPr>
              <w:jc w:val="center"/>
              <w:rPr>
                <w:rFonts w:ascii="Times New Roman" w:hAnsi="Times New Roman" w:eastAsia="仿宋_GB2312" w:cs="Times New Roman"/>
                <w:snapToGrid w:val="0"/>
                <w:szCs w:val="21"/>
              </w:rPr>
            </w:pPr>
          </w:p>
        </w:tc>
        <w:tc>
          <w:tcPr>
            <w:tcW w:w="2344" w:type="dxa"/>
            <w:vAlign w:val="center"/>
          </w:tcPr>
          <w:p>
            <w:pPr>
              <w:widowControl/>
              <w:spacing w:line="240" w:lineRule="auto"/>
              <w:ind w:firstLine="0" w:firstLineChars="0"/>
              <w:jc w:val="center"/>
              <w:rPr>
                <w:rFonts w:cs="Times New Roman"/>
                <w:b w:val="0"/>
                <w:bCs w:val="0"/>
                <w:kern w:val="0"/>
                <w:sz w:val="21"/>
                <w:szCs w:val="21"/>
              </w:rPr>
            </w:pPr>
            <w:r>
              <w:rPr>
                <w:rFonts w:hint="eastAsia" w:cs="Times New Roman"/>
                <w:b w:val="0"/>
                <w:bCs w:val="0"/>
                <w:kern w:val="0"/>
                <w:sz w:val="21"/>
                <w:szCs w:val="21"/>
                <w:lang w:eastAsia="zh-CN"/>
              </w:rPr>
              <w:t>牵张场</w:t>
            </w:r>
            <w:r>
              <w:rPr>
                <w:rFonts w:hint="eastAsia" w:cs="Times New Roman"/>
                <w:b w:val="0"/>
                <w:bCs w:val="0"/>
                <w:kern w:val="0"/>
                <w:sz w:val="21"/>
                <w:szCs w:val="21"/>
              </w:rPr>
              <w:t>区</w:t>
            </w:r>
          </w:p>
        </w:tc>
        <w:tc>
          <w:tcPr>
            <w:tcW w:w="1115" w:type="pct"/>
            <w:vAlign w:val="center"/>
          </w:tcPr>
          <w:p>
            <w:pPr>
              <w:widowControl/>
              <w:spacing w:line="240" w:lineRule="auto"/>
              <w:ind w:firstLine="0" w:firstLineChars="0"/>
              <w:jc w:val="center"/>
              <w:rPr>
                <w:rFonts w:hint="eastAsia" w:eastAsia="仿宋_GB2312" w:cs="Times New Roman"/>
                <w:b w:val="0"/>
                <w:bCs w:val="0"/>
                <w:kern w:val="0"/>
                <w:sz w:val="21"/>
                <w:szCs w:val="21"/>
                <w:lang w:val="en-US" w:eastAsia="zh-CN"/>
              </w:rPr>
            </w:pPr>
            <w:r>
              <w:rPr>
                <w:rFonts w:hint="eastAsia" w:cs="Times New Roman"/>
                <w:b w:val="0"/>
                <w:bCs w:val="0"/>
                <w:kern w:val="0"/>
                <w:sz w:val="21"/>
                <w:szCs w:val="21"/>
                <w:lang w:val="en-US" w:eastAsia="zh-CN"/>
              </w:rPr>
              <w:t>2</w:t>
            </w:r>
          </w:p>
        </w:tc>
        <w:tc>
          <w:tcPr>
            <w:tcW w:w="1818" w:type="pct"/>
            <w:vMerge w:val="continue"/>
            <w:vAlign w:val="center"/>
          </w:tcPr>
          <w:p>
            <w:pPr>
              <w:jc w:val="center"/>
              <w:rPr>
                <w:rFonts w:ascii="Times New Roman" w:hAnsi="Times New Roman" w:eastAsia="仿宋_GB2312" w:cs="Times New Roman"/>
                <w:szCs w:val="21"/>
              </w:rPr>
            </w:pPr>
          </w:p>
        </w:tc>
      </w:tr>
    </w:tbl>
    <w:p>
      <w:pPr>
        <w:ind w:firstLine="480"/>
        <w:rPr>
          <w:rFonts w:ascii="Times New Roman" w:hAnsi="Times New Roman" w:cs="Times New Roman"/>
        </w:rPr>
      </w:pPr>
      <w:r>
        <w:rPr>
          <w:rFonts w:hint="eastAsia" w:ascii="Times New Roman" w:hAnsi="Times New Roman" w:cs="Times New Roman"/>
        </w:rPr>
        <w:t>（3）土壤侵蚀模数</w:t>
      </w:r>
    </w:p>
    <w:p>
      <w:pPr>
        <w:ind w:firstLine="480"/>
        <w:rPr>
          <w:rFonts w:ascii="Times New Roman" w:hAnsi="Times New Roman" w:cs="Times New Roman"/>
        </w:rPr>
      </w:pPr>
      <w:r>
        <w:rPr>
          <w:rFonts w:ascii="Times New Roman" w:hAnsi="Times New Roman" w:cs="Times New Roman"/>
        </w:rPr>
        <w:t>本项目区各工程单元（分区）现状水土流失情况需经过现场调查及类比工程调查获得。根据《土壤侵蚀分类分级标准》，结合现场查勘，选定本项目区现状土壤侵蚀模数背景值为</w:t>
      </w:r>
      <w:r>
        <w:rPr>
          <w:rFonts w:hint="eastAsia" w:ascii="Times New Roman" w:hAnsi="Times New Roman" w:cs="Times New Roman"/>
          <w:lang w:val="en-US" w:eastAsia="zh-CN"/>
        </w:rPr>
        <w:t>150</w:t>
      </w:r>
      <w:r>
        <w:rPr>
          <w:rFonts w:ascii="Times New Roman" w:hAnsi="Times New Roman" w:cs="Times New Roman"/>
        </w:rPr>
        <w:t>t/km²</w:t>
      </w:r>
      <w:r>
        <w:rPr>
          <w:rFonts w:ascii="Times New Roman" w:hAnsi="Times New Roman" w:eastAsia="微软雅黑" w:cs="Times New Roman"/>
        </w:rPr>
        <w:t>•</w:t>
      </w:r>
      <w:r>
        <w:rPr>
          <w:rFonts w:ascii="Times New Roman" w:hAnsi="Times New Roman" w:cs="Times New Roman"/>
        </w:rPr>
        <w:t>a。</w:t>
      </w:r>
    </w:p>
    <w:p>
      <w:pPr>
        <w:ind w:firstLine="480"/>
        <w:rPr>
          <w:rFonts w:ascii="Times New Roman" w:hAnsi="Times New Roman" w:cs="Times New Roman"/>
        </w:rPr>
      </w:pPr>
      <w:r>
        <w:rPr>
          <w:rFonts w:hint="eastAsia" w:ascii="Times New Roman" w:hAnsi="Times New Roman" w:cs="Times New Roman"/>
        </w:rPr>
        <w:t>扰动后的施工期和自然恢复期的</w:t>
      </w:r>
      <w:r>
        <w:rPr>
          <w:rFonts w:ascii="Times New Roman" w:hAnsi="Times New Roman" w:cs="Times New Roman"/>
        </w:rPr>
        <w:t>采用类比法分析</w:t>
      </w:r>
      <w:r>
        <w:rPr>
          <w:rFonts w:hint="eastAsia" w:ascii="Times New Roman" w:hAnsi="Times New Roman" w:cs="Times New Roman"/>
        </w:rPr>
        <w:t>，选取已通过水土保持验收的</w:t>
      </w:r>
      <w:r>
        <w:rPr>
          <w:rFonts w:ascii="Times New Roman" w:hAnsi="Times New Roman" w:eastAsia="仿宋_GB2312" w:cs="Times New Roman"/>
          <w:sz w:val="24"/>
          <w:szCs w:val="22"/>
        </w:rPr>
        <w:t>金寨华西新能源发展有限公司楼冲村40MWp农光互补光伏电站</w:t>
      </w:r>
      <w:r>
        <w:rPr>
          <w:rFonts w:hint="eastAsia" w:ascii="Times New Roman" w:hAnsi="Times New Roman" w:cs="Times New Roman"/>
        </w:rPr>
        <w:t>项目作为本工程类比工程，</w:t>
      </w:r>
      <w:r>
        <w:rPr>
          <w:rFonts w:ascii="Times New Roman" w:hAnsi="Times New Roman" w:cs="Times New Roman"/>
        </w:rPr>
        <w:t>其地形地貌、地面坡度、土壤植被、侵蚀模数背景值等与本工程一致，工程建设过程中开挖、填筑等可能造成水土流失的成因、程度和影响两者亦基本相近，具有较强的可比性。</w:t>
      </w:r>
      <w:r>
        <w:rPr>
          <w:rFonts w:hint="eastAsia" w:ascii="Times New Roman" w:hAnsi="Times New Roman" w:cs="Times New Roman"/>
        </w:rPr>
        <w:t>通过类比，本工程各时期的侵蚀模数见表</w:t>
      </w:r>
      <w:r>
        <w:rPr>
          <w:rFonts w:hint="eastAsia" w:cs="Times New Roman"/>
          <w:lang w:val="en-US" w:eastAsia="zh-CN"/>
        </w:rPr>
        <w:t>7</w:t>
      </w:r>
      <w:r>
        <w:rPr>
          <w:rFonts w:hint="eastAsia" w:ascii="Times New Roman" w:hAnsi="Times New Roman" w:cs="Times New Roman"/>
        </w:rPr>
        <w:t>-</w:t>
      </w:r>
      <w:r>
        <w:rPr>
          <w:rFonts w:hint="eastAsia" w:cs="Times New Roman"/>
          <w:lang w:val="en-US" w:eastAsia="zh-CN"/>
        </w:rPr>
        <w:t>4</w:t>
      </w:r>
      <w:r>
        <w:rPr>
          <w:rFonts w:hint="eastAsia" w:ascii="Times New Roman" w:hAnsi="Times New Roman" w:cs="Times New Roman"/>
        </w:rPr>
        <w:t>。</w:t>
      </w:r>
    </w:p>
    <w:p>
      <w:pPr>
        <w:widowControl w:val="0"/>
        <w:spacing w:line="360" w:lineRule="auto"/>
        <w:ind w:firstLine="0" w:firstLineChars="0"/>
        <w:jc w:val="center"/>
        <w:rPr>
          <w:rFonts w:ascii="Times New Roman" w:hAnsi="Times New Roman" w:eastAsia="仿宋_GB2312" w:cs="Times New Roman"/>
          <w:b/>
          <w:bCs/>
          <w:kern w:val="28"/>
          <w:sz w:val="21"/>
          <w:szCs w:val="32"/>
          <w:lang w:val="en-US" w:eastAsia="zh-CN" w:bidi="ar-SA"/>
        </w:rPr>
      </w:pPr>
      <w:r>
        <w:rPr>
          <w:rFonts w:hint="eastAsia" w:ascii="Times New Roman" w:hAnsi="Times New Roman" w:eastAsia="仿宋_GB2312" w:cs="Times New Roman"/>
          <w:b/>
          <w:bCs/>
          <w:kern w:val="28"/>
          <w:sz w:val="21"/>
          <w:szCs w:val="32"/>
          <w:lang w:val="en-US" w:eastAsia="zh-CN" w:bidi="ar-SA"/>
        </w:rPr>
        <w:t>表</w:t>
      </w:r>
      <w:r>
        <w:rPr>
          <w:rFonts w:hint="eastAsia" w:cs="Times New Roman"/>
          <w:b/>
          <w:bCs/>
          <w:kern w:val="28"/>
          <w:sz w:val="21"/>
          <w:szCs w:val="32"/>
          <w:lang w:val="en-US" w:eastAsia="zh-CN" w:bidi="ar-SA"/>
        </w:rPr>
        <w:t>7</w:t>
      </w:r>
      <w:r>
        <w:rPr>
          <w:rFonts w:hint="eastAsia" w:ascii="Times New Roman" w:hAnsi="Times New Roman" w:eastAsia="仿宋_GB2312" w:cs="Times New Roman"/>
          <w:b/>
          <w:bCs/>
          <w:kern w:val="28"/>
          <w:sz w:val="21"/>
          <w:szCs w:val="32"/>
          <w:lang w:val="en-US" w:eastAsia="zh-CN" w:bidi="ar-SA"/>
        </w:rPr>
        <w:t>-</w:t>
      </w:r>
      <w:r>
        <w:rPr>
          <w:rFonts w:hint="eastAsia" w:cs="Times New Roman"/>
          <w:b/>
          <w:bCs/>
          <w:kern w:val="28"/>
          <w:sz w:val="21"/>
          <w:szCs w:val="32"/>
          <w:lang w:val="en-US" w:eastAsia="zh-CN" w:bidi="ar-SA"/>
        </w:rPr>
        <w:t>4</w:t>
      </w:r>
      <w:r>
        <w:rPr>
          <w:rFonts w:ascii="Times New Roman" w:hAnsi="Times New Roman" w:eastAsia="仿宋_GB2312" w:cs="Times New Roman"/>
          <w:b/>
          <w:bCs/>
          <w:kern w:val="28"/>
          <w:sz w:val="21"/>
          <w:szCs w:val="32"/>
          <w:lang w:val="en-US" w:eastAsia="zh-CN" w:bidi="ar-SA"/>
        </w:rPr>
        <w:t xml:space="preserve"> </w:t>
      </w:r>
      <w:r>
        <w:rPr>
          <w:rFonts w:hint="eastAsia" w:ascii="Times New Roman" w:hAnsi="Times New Roman" w:eastAsia="仿宋_GB2312" w:cs="Times New Roman"/>
          <w:b/>
          <w:bCs/>
          <w:kern w:val="28"/>
          <w:sz w:val="21"/>
          <w:szCs w:val="32"/>
          <w:lang w:val="en-US" w:eastAsia="zh-CN" w:bidi="ar-SA"/>
        </w:rPr>
        <w:t>工程各时期侵蚀模数统计表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2"/>
        <w:gridCol w:w="2002"/>
        <w:gridCol w:w="2423"/>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2002" w:type="dxa"/>
            <w:vAlign w:val="center"/>
          </w:tcPr>
          <w:p>
            <w:pPr>
              <w:ind w:firstLine="0" w:firstLineChars="0"/>
              <w:jc w:val="center"/>
              <w:rPr>
                <w:rFonts w:hint="eastAsia" w:ascii="Times New Roman" w:hAnsi="Times New Roman" w:cs="Times New Roman"/>
                <w:sz w:val="21"/>
                <w:szCs w:val="21"/>
              </w:rPr>
            </w:pPr>
            <w:r>
              <w:rPr>
                <w:rFonts w:hint="eastAsia" w:ascii="Times New Roman" w:hAnsi="Times New Roman" w:cs="Times New Roman"/>
                <w:sz w:val="21"/>
                <w:szCs w:val="21"/>
              </w:rPr>
              <w:t>预测单元</w:t>
            </w:r>
          </w:p>
        </w:tc>
        <w:tc>
          <w:tcPr>
            <w:tcW w:w="2002" w:type="dxa"/>
            <w:vAlign w:val="center"/>
          </w:tcPr>
          <w:p>
            <w:pPr>
              <w:ind w:firstLine="0" w:firstLineChars="0"/>
              <w:jc w:val="center"/>
              <w:rPr>
                <w:rFonts w:hint="eastAsia" w:ascii="Times New Roman" w:hAnsi="Times New Roman" w:cs="Times New Roman"/>
                <w:sz w:val="21"/>
                <w:szCs w:val="21"/>
              </w:rPr>
            </w:pPr>
            <w:r>
              <w:rPr>
                <w:rFonts w:hint="eastAsia" w:ascii="Times New Roman" w:hAnsi="Times New Roman" w:cs="Times New Roman"/>
                <w:sz w:val="21"/>
                <w:szCs w:val="21"/>
              </w:rPr>
              <w:t>施工期侵蚀模数</w:t>
            </w:r>
          </w:p>
        </w:tc>
        <w:tc>
          <w:tcPr>
            <w:tcW w:w="2423" w:type="dxa"/>
            <w:vAlign w:val="center"/>
          </w:tcPr>
          <w:p>
            <w:pPr>
              <w:ind w:firstLine="0" w:firstLineChars="0"/>
              <w:jc w:val="center"/>
              <w:rPr>
                <w:rFonts w:hint="eastAsia" w:ascii="Times New Roman" w:hAnsi="Times New Roman" w:cs="Times New Roman"/>
                <w:sz w:val="21"/>
                <w:szCs w:val="21"/>
              </w:rPr>
            </w:pPr>
            <w:r>
              <w:rPr>
                <w:rFonts w:hint="eastAsia" w:ascii="Times New Roman" w:hAnsi="Times New Roman" w:cs="Times New Roman"/>
                <w:sz w:val="21"/>
                <w:szCs w:val="21"/>
              </w:rPr>
              <w:t>自然恢复期侵蚀模数</w:t>
            </w:r>
          </w:p>
        </w:tc>
        <w:tc>
          <w:tcPr>
            <w:tcW w:w="1581" w:type="dxa"/>
            <w:vAlign w:val="center"/>
          </w:tcPr>
          <w:p>
            <w:pPr>
              <w:ind w:firstLine="0" w:firstLineChars="0"/>
              <w:jc w:val="center"/>
              <w:rPr>
                <w:rFonts w:hint="eastAsia" w:ascii="Times New Roman" w:hAnsi="Times New Roman" w:cs="Times New Roman"/>
                <w:sz w:val="21"/>
                <w:szCs w:val="21"/>
              </w:rPr>
            </w:pPr>
            <w:r>
              <w:rPr>
                <w:rFonts w:hint="eastAsia" w:ascii="Times New Roman" w:hAnsi="Times New Roman" w:cs="Times New Roman"/>
                <w:sz w:val="21"/>
                <w:szCs w:val="21"/>
              </w:rPr>
              <w:t>背景值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2002"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集电线路</w:t>
            </w:r>
            <w:r>
              <w:rPr>
                <w:rFonts w:hint="eastAsia" w:ascii="Times New Roman" w:hAnsi="Times New Roman" w:cs="Times New Roman"/>
                <w:sz w:val="21"/>
                <w:szCs w:val="21"/>
                <w:lang w:val="en-US" w:eastAsia="zh-CN"/>
              </w:rPr>
              <w:t>区</w:t>
            </w:r>
          </w:p>
        </w:tc>
        <w:tc>
          <w:tcPr>
            <w:tcW w:w="2002"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1381</w:t>
            </w:r>
          </w:p>
        </w:tc>
        <w:tc>
          <w:tcPr>
            <w:tcW w:w="2423"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140</w:t>
            </w:r>
          </w:p>
        </w:tc>
        <w:tc>
          <w:tcPr>
            <w:tcW w:w="1581"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002"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施工道路</w:t>
            </w:r>
            <w:r>
              <w:rPr>
                <w:rFonts w:hint="eastAsia" w:ascii="Times New Roman" w:hAnsi="Times New Roman" w:cs="Times New Roman"/>
                <w:sz w:val="21"/>
                <w:szCs w:val="21"/>
                <w:lang w:val="en-US" w:eastAsia="zh-CN"/>
              </w:rPr>
              <w:t>区</w:t>
            </w:r>
          </w:p>
        </w:tc>
        <w:tc>
          <w:tcPr>
            <w:tcW w:w="2002"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550</w:t>
            </w:r>
          </w:p>
        </w:tc>
        <w:tc>
          <w:tcPr>
            <w:tcW w:w="2423"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140</w:t>
            </w:r>
          </w:p>
        </w:tc>
        <w:tc>
          <w:tcPr>
            <w:tcW w:w="1581"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2002"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牵张场</w:t>
            </w:r>
            <w:r>
              <w:rPr>
                <w:rFonts w:hint="eastAsia" w:ascii="Times New Roman" w:hAnsi="Times New Roman" w:cs="Times New Roman"/>
                <w:sz w:val="21"/>
                <w:szCs w:val="21"/>
                <w:lang w:val="en-US" w:eastAsia="zh-CN"/>
              </w:rPr>
              <w:t>区</w:t>
            </w:r>
          </w:p>
        </w:tc>
        <w:tc>
          <w:tcPr>
            <w:tcW w:w="2002"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550</w:t>
            </w:r>
          </w:p>
        </w:tc>
        <w:tc>
          <w:tcPr>
            <w:tcW w:w="2423"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140</w:t>
            </w:r>
          </w:p>
        </w:tc>
        <w:tc>
          <w:tcPr>
            <w:tcW w:w="1581" w:type="dxa"/>
            <w:vAlign w:val="center"/>
          </w:tcPr>
          <w:p>
            <w:pPr>
              <w:ind w:firstLine="0" w:firstLineChars="0"/>
              <w:jc w:val="center"/>
              <w:rPr>
                <w:rFonts w:hint="default" w:ascii="Times New Roman" w:hAnsi="Times New Roman" w:eastAsia="仿宋_GB2312" w:cs="Times New Roman"/>
                <w:sz w:val="21"/>
                <w:szCs w:val="21"/>
                <w:lang w:val="en-US" w:eastAsia="zh-CN"/>
              </w:rPr>
            </w:pPr>
            <w:r>
              <w:rPr>
                <w:rFonts w:hint="eastAsia" w:ascii="Times New Roman" w:hAnsi="Times New Roman" w:cs="Times New Roman"/>
                <w:sz w:val="21"/>
                <w:szCs w:val="21"/>
                <w:lang w:val="en-US" w:eastAsia="zh-CN"/>
              </w:rPr>
              <w:t>150</w:t>
            </w:r>
          </w:p>
        </w:tc>
      </w:tr>
    </w:tbl>
    <w:p>
      <w:pPr>
        <w:pStyle w:val="4"/>
        <w:rPr>
          <w:rFonts w:hint="eastAsia"/>
        </w:rPr>
      </w:pPr>
      <w:bookmarkStart w:id="56" w:name="_Toc50731626"/>
      <w:r>
        <w:rPr>
          <w:rFonts w:hint="eastAsia"/>
          <w:lang w:val="en-US" w:eastAsia="zh-CN"/>
        </w:rPr>
        <w:t>7</w:t>
      </w:r>
      <w:r>
        <w:t>.</w:t>
      </w:r>
      <w:r>
        <w:rPr>
          <w:rFonts w:hint="eastAsia"/>
          <w:lang w:val="en-US" w:eastAsia="zh-CN"/>
        </w:rPr>
        <w:t>3</w:t>
      </w:r>
      <w:r>
        <w:t xml:space="preserve"> </w:t>
      </w:r>
      <w:r>
        <w:rPr>
          <w:rFonts w:hint="eastAsia"/>
        </w:rPr>
        <w:t>水土流失预测</w:t>
      </w:r>
      <w:bookmarkEnd w:id="56"/>
    </w:p>
    <w:p>
      <w:pPr>
        <w:ind w:firstLine="480"/>
        <w:rPr>
          <w:rFonts w:hint="eastAsia"/>
          <w:lang w:eastAsia="zh-CN"/>
        </w:rPr>
      </w:pPr>
      <w:r>
        <w:rPr>
          <w:rFonts w:hint="eastAsia" w:ascii="Times New Roman" w:hAnsi="Times New Roman" w:cs="Times New Roman"/>
        </w:rPr>
        <w:t>根据计算，工程</w:t>
      </w:r>
      <w:r>
        <w:rPr>
          <w:rFonts w:ascii="Times New Roman" w:hAnsi="Times New Roman" w:cs="Times New Roman"/>
        </w:rPr>
        <w:t>本项目可能造成水土流失量</w:t>
      </w:r>
      <w:r>
        <w:rPr>
          <w:rFonts w:hint="eastAsia" w:cs="Times New Roman"/>
          <w:lang w:val="en-US" w:eastAsia="zh-CN"/>
        </w:rPr>
        <w:t>15.73</w:t>
      </w:r>
      <w:r>
        <w:rPr>
          <w:rFonts w:ascii="Times New Roman" w:hAnsi="Times New Roman" w:cs="Times New Roman"/>
        </w:rPr>
        <w:t>t，其中背景流失量为</w:t>
      </w:r>
      <w:r>
        <w:rPr>
          <w:rFonts w:hint="eastAsia" w:cs="Times New Roman"/>
          <w:lang w:val="en-US" w:eastAsia="zh-CN"/>
        </w:rPr>
        <w:t>9.57</w:t>
      </w:r>
      <w:r>
        <w:rPr>
          <w:rFonts w:ascii="Times New Roman" w:hAnsi="Times New Roman" w:cs="Times New Roman"/>
        </w:rPr>
        <w:t>t，新增流失量为</w:t>
      </w:r>
      <w:r>
        <w:rPr>
          <w:rFonts w:hint="eastAsia" w:cs="Times New Roman"/>
          <w:lang w:val="en-US" w:eastAsia="zh-CN"/>
        </w:rPr>
        <w:t>6.16</w:t>
      </w:r>
      <w:r>
        <w:rPr>
          <w:rFonts w:ascii="Times New Roman" w:hAnsi="Times New Roman" w:cs="Times New Roman"/>
        </w:rPr>
        <w:t>t</w:t>
      </w:r>
      <w:r>
        <w:rPr>
          <w:rFonts w:hint="eastAsia" w:cs="Times New Roman"/>
          <w:lang w:eastAsia="zh-CN"/>
        </w:rPr>
        <w:t>。</w:t>
      </w:r>
    </w:p>
    <w:p>
      <w:pPr>
        <w:widowControl w:val="0"/>
        <w:spacing w:line="360" w:lineRule="auto"/>
        <w:ind w:firstLine="0" w:firstLineChars="0"/>
        <w:jc w:val="center"/>
        <w:rPr>
          <w:rFonts w:ascii="Times New Roman" w:hAnsi="Times New Roman" w:eastAsia="仿宋_GB2312" w:cs="Times New Roman"/>
          <w:b/>
          <w:bCs/>
          <w:kern w:val="28"/>
          <w:sz w:val="21"/>
          <w:szCs w:val="32"/>
          <w:lang w:val="en-US" w:eastAsia="zh-CN" w:bidi="ar-SA"/>
        </w:rPr>
      </w:pPr>
      <w:r>
        <w:rPr>
          <w:rFonts w:hint="eastAsia" w:ascii="Times New Roman" w:hAnsi="Times New Roman" w:eastAsia="仿宋_GB2312" w:cs="Times New Roman"/>
          <w:b/>
          <w:bCs/>
          <w:kern w:val="28"/>
          <w:sz w:val="21"/>
          <w:szCs w:val="32"/>
          <w:lang w:val="en-US" w:eastAsia="zh-CN" w:bidi="ar-SA"/>
        </w:rPr>
        <w:t>表</w:t>
      </w:r>
      <w:r>
        <w:rPr>
          <w:rFonts w:hint="eastAsia" w:cs="Times New Roman"/>
          <w:b/>
          <w:bCs/>
          <w:kern w:val="28"/>
          <w:sz w:val="21"/>
          <w:szCs w:val="32"/>
          <w:lang w:val="en-US" w:eastAsia="zh-CN" w:bidi="ar-SA"/>
        </w:rPr>
        <w:t>7</w:t>
      </w:r>
      <w:r>
        <w:rPr>
          <w:rFonts w:hint="eastAsia" w:ascii="Times New Roman" w:hAnsi="Times New Roman" w:eastAsia="仿宋_GB2312" w:cs="Times New Roman"/>
          <w:b/>
          <w:bCs/>
          <w:kern w:val="28"/>
          <w:sz w:val="21"/>
          <w:szCs w:val="32"/>
          <w:lang w:val="en-US" w:eastAsia="zh-CN" w:bidi="ar-SA"/>
        </w:rPr>
        <w:t>-</w:t>
      </w:r>
      <w:r>
        <w:rPr>
          <w:rFonts w:hint="eastAsia" w:cs="Times New Roman"/>
          <w:b/>
          <w:bCs/>
          <w:kern w:val="28"/>
          <w:sz w:val="21"/>
          <w:szCs w:val="32"/>
          <w:lang w:val="en-US" w:eastAsia="zh-CN" w:bidi="ar-SA"/>
        </w:rPr>
        <w:t>5</w:t>
      </w:r>
      <w:r>
        <w:rPr>
          <w:rFonts w:ascii="Times New Roman" w:hAnsi="Times New Roman" w:eastAsia="仿宋_GB2312" w:cs="Times New Roman"/>
          <w:b/>
          <w:bCs/>
          <w:kern w:val="28"/>
          <w:sz w:val="21"/>
          <w:szCs w:val="32"/>
          <w:lang w:val="en-US" w:eastAsia="zh-CN" w:bidi="ar-SA"/>
        </w:rPr>
        <w:t xml:space="preserve"> </w:t>
      </w:r>
      <w:r>
        <w:rPr>
          <w:rFonts w:hint="eastAsia" w:ascii="Times New Roman" w:hAnsi="Times New Roman" w:eastAsia="仿宋_GB2312" w:cs="Times New Roman"/>
          <w:b/>
          <w:bCs/>
          <w:kern w:val="28"/>
          <w:sz w:val="21"/>
          <w:szCs w:val="32"/>
          <w:lang w:val="en-US" w:eastAsia="zh-CN" w:bidi="ar-SA"/>
        </w:rPr>
        <w:t>项目水土流失量预测表</w:t>
      </w:r>
    </w:p>
    <w:tbl>
      <w:tblPr>
        <w:tblStyle w:val="15"/>
        <w:tblW w:w="5322" w:type="pct"/>
        <w:tblInd w:w="-3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1272"/>
        <w:gridCol w:w="888"/>
        <w:gridCol w:w="1326"/>
        <w:gridCol w:w="1302"/>
        <w:gridCol w:w="840"/>
        <w:gridCol w:w="876"/>
        <w:gridCol w:w="84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3" w:type="pc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预测时段</w:t>
            </w:r>
          </w:p>
        </w:tc>
        <w:tc>
          <w:tcPr>
            <w:tcW w:w="701" w:type="pc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预测</w:t>
            </w:r>
          </w:p>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单元</w:t>
            </w:r>
          </w:p>
        </w:tc>
        <w:tc>
          <w:tcPr>
            <w:tcW w:w="489" w:type="pc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面积（hm²）</w:t>
            </w:r>
          </w:p>
        </w:tc>
        <w:tc>
          <w:tcPr>
            <w:tcW w:w="730" w:type="pc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扰动后侵蚀</w:t>
            </w:r>
          </w:p>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模数</w:t>
            </w:r>
          </w:p>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（t/(km²·a)）</w:t>
            </w:r>
          </w:p>
        </w:tc>
        <w:tc>
          <w:tcPr>
            <w:tcW w:w="717" w:type="pc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侵蚀模数</w:t>
            </w:r>
          </w:p>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背景值</w:t>
            </w:r>
          </w:p>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（t/(km²·a)）</w:t>
            </w:r>
          </w:p>
        </w:tc>
        <w:tc>
          <w:tcPr>
            <w:tcW w:w="462" w:type="pc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预测</w:t>
            </w:r>
          </w:p>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时段(a)</w:t>
            </w:r>
          </w:p>
        </w:tc>
        <w:tc>
          <w:tcPr>
            <w:tcW w:w="482" w:type="pc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预测流</w:t>
            </w:r>
          </w:p>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失量(t)</w:t>
            </w:r>
          </w:p>
        </w:tc>
        <w:tc>
          <w:tcPr>
            <w:tcW w:w="462" w:type="pc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背景流</w:t>
            </w:r>
          </w:p>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失量(t)</w:t>
            </w:r>
          </w:p>
        </w:tc>
        <w:tc>
          <w:tcPr>
            <w:tcW w:w="529" w:type="pc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新增流</w:t>
            </w:r>
          </w:p>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失量(t)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3" w:type="pct"/>
            <w:vMerge w:val="restar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施工期</w:t>
            </w:r>
          </w:p>
        </w:tc>
        <w:tc>
          <w:tcPr>
            <w:tcW w:w="701" w:type="pct"/>
            <w:vAlign w:val="center"/>
          </w:tcPr>
          <w:p>
            <w:pPr>
              <w:widowControl/>
              <w:spacing w:line="240" w:lineRule="auto"/>
              <w:ind w:firstLine="0" w:firstLineChars="0"/>
              <w:jc w:val="both"/>
              <w:rPr>
                <w:rFonts w:ascii="Times New Roman" w:hAnsi="Times New Roman" w:cs="Times New Roman"/>
                <w:kern w:val="0"/>
                <w:sz w:val="21"/>
                <w:szCs w:val="21"/>
              </w:rPr>
            </w:pPr>
            <w:r>
              <w:rPr>
                <w:rFonts w:hint="eastAsia" w:cs="Times New Roman"/>
                <w:kern w:val="0"/>
                <w:sz w:val="21"/>
                <w:szCs w:val="21"/>
                <w:lang w:val="en-US" w:eastAsia="zh-CN"/>
              </w:rPr>
              <w:t>集电线路</w:t>
            </w:r>
            <w:r>
              <w:rPr>
                <w:rFonts w:ascii="Times New Roman" w:hAnsi="Times New Roman" w:cs="Times New Roman"/>
                <w:kern w:val="0"/>
                <w:sz w:val="21"/>
                <w:szCs w:val="21"/>
              </w:rPr>
              <w:t>区</w:t>
            </w:r>
          </w:p>
        </w:tc>
        <w:tc>
          <w:tcPr>
            <w:tcW w:w="489" w:type="pct"/>
            <w:vAlign w:val="center"/>
          </w:tcPr>
          <w:p>
            <w:pPr>
              <w:spacing w:line="240" w:lineRule="auto"/>
              <w:ind w:firstLine="0" w:firstLineChars="0"/>
              <w:jc w:val="center"/>
              <w:rPr>
                <w:rFonts w:hint="default" w:ascii="Times New Roman" w:hAnsi="Times New Roman" w:eastAsia="仿宋_GB2312" w:cs="Times New Roman"/>
                <w:bCs/>
                <w:sz w:val="21"/>
                <w:szCs w:val="21"/>
                <w:lang w:val="en-US" w:eastAsia="zh-CN"/>
              </w:rPr>
            </w:pPr>
            <w:r>
              <w:rPr>
                <w:rFonts w:hint="eastAsia" w:cs="Times New Roman"/>
                <w:bCs/>
                <w:sz w:val="21"/>
                <w:szCs w:val="21"/>
                <w:lang w:val="en-US" w:eastAsia="zh-CN"/>
              </w:rPr>
              <w:t>1.85</w:t>
            </w:r>
          </w:p>
        </w:tc>
        <w:tc>
          <w:tcPr>
            <w:tcW w:w="730" w:type="pct"/>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1381</w:t>
            </w:r>
          </w:p>
        </w:tc>
        <w:tc>
          <w:tcPr>
            <w:tcW w:w="717" w:type="pct"/>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150</w:t>
            </w:r>
          </w:p>
        </w:tc>
        <w:tc>
          <w:tcPr>
            <w:tcW w:w="462" w:type="pct"/>
            <w:noWrap/>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0.25</w:t>
            </w:r>
          </w:p>
        </w:tc>
        <w:tc>
          <w:tcPr>
            <w:tcW w:w="482" w:type="pct"/>
            <w:noWrap/>
            <w:vAlign w:val="center"/>
          </w:tcPr>
          <w:p>
            <w:pPr>
              <w:widowControl/>
              <w:spacing w:line="240" w:lineRule="auto"/>
              <w:ind w:firstLine="0" w:firstLineChars="0"/>
              <w:jc w:val="center"/>
              <w:textAlignment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6.39</w:t>
            </w:r>
          </w:p>
        </w:tc>
        <w:tc>
          <w:tcPr>
            <w:tcW w:w="462" w:type="pct"/>
            <w:vAlign w:val="center"/>
          </w:tcPr>
          <w:p>
            <w:pPr>
              <w:widowControl/>
              <w:spacing w:line="240" w:lineRule="auto"/>
              <w:ind w:firstLine="0" w:firstLineChars="0"/>
              <w:jc w:val="center"/>
              <w:textAlignment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0.69</w:t>
            </w:r>
          </w:p>
        </w:tc>
        <w:tc>
          <w:tcPr>
            <w:tcW w:w="529" w:type="pct"/>
            <w:vAlign w:val="center"/>
          </w:tcPr>
          <w:p>
            <w:pPr>
              <w:widowControl/>
              <w:spacing w:line="240" w:lineRule="auto"/>
              <w:ind w:firstLine="0" w:firstLineChars="0"/>
              <w:jc w:val="center"/>
              <w:textAlignment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3" w:type="pct"/>
            <w:vMerge w:val="continue"/>
            <w:vAlign w:val="center"/>
          </w:tcPr>
          <w:p>
            <w:pPr>
              <w:widowControl/>
              <w:spacing w:line="240" w:lineRule="auto"/>
              <w:ind w:firstLine="0" w:firstLineChars="0"/>
              <w:jc w:val="center"/>
              <w:rPr>
                <w:rFonts w:ascii="Times New Roman" w:hAnsi="Times New Roman" w:cs="Times New Roman"/>
                <w:kern w:val="0"/>
                <w:sz w:val="21"/>
                <w:szCs w:val="21"/>
              </w:rPr>
            </w:pPr>
          </w:p>
        </w:tc>
        <w:tc>
          <w:tcPr>
            <w:tcW w:w="701" w:type="pct"/>
            <w:vAlign w:val="center"/>
          </w:tcPr>
          <w:p>
            <w:pPr>
              <w:widowControl/>
              <w:spacing w:line="240" w:lineRule="auto"/>
              <w:ind w:firstLine="0" w:firstLineChars="0"/>
              <w:jc w:val="center"/>
              <w:rPr>
                <w:rFonts w:ascii="Times New Roman" w:hAnsi="Times New Roman" w:cs="Times New Roman"/>
                <w:kern w:val="0"/>
                <w:sz w:val="21"/>
                <w:szCs w:val="21"/>
              </w:rPr>
            </w:pPr>
            <w:r>
              <w:rPr>
                <w:rFonts w:hint="eastAsia" w:cs="Times New Roman"/>
                <w:kern w:val="0"/>
                <w:sz w:val="21"/>
                <w:szCs w:val="21"/>
                <w:lang w:val="en-US" w:eastAsia="zh-CN"/>
              </w:rPr>
              <w:t>施工道路</w:t>
            </w:r>
            <w:r>
              <w:rPr>
                <w:rFonts w:ascii="Times New Roman" w:hAnsi="Times New Roman" w:cs="Times New Roman"/>
                <w:kern w:val="0"/>
                <w:sz w:val="21"/>
                <w:szCs w:val="21"/>
              </w:rPr>
              <w:t>区</w:t>
            </w:r>
          </w:p>
        </w:tc>
        <w:tc>
          <w:tcPr>
            <w:tcW w:w="489" w:type="pct"/>
            <w:vAlign w:val="center"/>
          </w:tcPr>
          <w:p>
            <w:pPr>
              <w:spacing w:line="240" w:lineRule="auto"/>
              <w:ind w:firstLine="0" w:firstLineChars="0"/>
              <w:jc w:val="center"/>
              <w:rPr>
                <w:rFonts w:hint="default" w:ascii="Times New Roman" w:hAnsi="Times New Roman" w:eastAsia="仿宋_GB2312" w:cs="Times New Roman"/>
                <w:bCs/>
                <w:sz w:val="21"/>
                <w:szCs w:val="21"/>
                <w:lang w:val="en-US" w:eastAsia="zh-CN"/>
              </w:rPr>
            </w:pPr>
            <w:r>
              <w:rPr>
                <w:rFonts w:hint="eastAsia" w:cs="Times New Roman"/>
                <w:bCs/>
                <w:sz w:val="21"/>
                <w:szCs w:val="21"/>
                <w:lang w:val="en-US" w:eastAsia="zh-CN"/>
              </w:rPr>
              <w:t>0.28</w:t>
            </w:r>
          </w:p>
        </w:tc>
        <w:tc>
          <w:tcPr>
            <w:tcW w:w="730" w:type="pct"/>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550</w:t>
            </w:r>
          </w:p>
        </w:tc>
        <w:tc>
          <w:tcPr>
            <w:tcW w:w="717" w:type="pct"/>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150</w:t>
            </w:r>
          </w:p>
        </w:tc>
        <w:tc>
          <w:tcPr>
            <w:tcW w:w="462" w:type="pct"/>
            <w:noWrap/>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0.25</w:t>
            </w:r>
          </w:p>
        </w:tc>
        <w:tc>
          <w:tcPr>
            <w:tcW w:w="482" w:type="pct"/>
            <w:noWrap/>
            <w:vAlign w:val="center"/>
          </w:tcPr>
          <w:p>
            <w:pPr>
              <w:widowControl/>
              <w:spacing w:line="240" w:lineRule="auto"/>
              <w:ind w:firstLine="0" w:firstLineChars="0"/>
              <w:jc w:val="center"/>
              <w:textAlignment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0.39</w:t>
            </w:r>
          </w:p>
        </w:tc>
        <w:tc>
          <w:tcPr>
            <w:tcW w:w="462" w:type="pct"/>
            <w:vAlign w:val="center"/>
          </w:tcPr>
          <w:p>
            <w:pPr>
              <w:widowControl/>
              <w:spacing w:line="240" w:lineRule="auto"/>
              <w:ind w:firstLine="0" w:firstLineChars="0"/>
              <w:jc w:val="center"/>
              <w:textAlignment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0.11</w:t>
            </w:r>
          </w:p>
        </w:tc>
        <w:tc>
          <w:tcPr>
            <w:tcW w:w="529" w:type="pct"/>
            <w:vAlign w:val="center"/>
          </w:tcPr>
          <w:p>
            <w:pPr>
              <w:widowControl/>
              <w:spacing w:line="240" w:lineRule="auto"/>
              <w:ind w:firstLine="0" w:firstLineChars="0"/>
              <w:jc w:val="center"/>
              <w:textAlignment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3" w:type="pct"/>
            <w:vMerge w:val="continue"/>
            <w:vAlign w:val="center"/>
          </w:tcPr>
          <w:p>
            <w:pPr>
              <w:widowControl/>
              <w:spacing w:line="240" w:lineRule="auto"/>
              <w:ind w:firstLine="0" w:firstLineChars="0"/>
              <w:jc w:val="center"/>
              <w:rPr>
                <w:rFonts w:ascii="Times New Roman" w:hAnsi="Times New Roman" w:cs="Times New Roman"/>
                <w:kern w:val="0"/>
                <w:sz w:val="21"/>
                <w:szCs w:val="21"/>
              </w:rPr>
            </w:pPr>
          </w:p>
        </w:tc>
        <w:tc>
          <w:tcPr>
            <w:tcW w:w="701" w:type="pct"/>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牵张场区</w:t>
            </w:r>
          </w:p>
        </w:tc>
        <w:tc>
          <w:tcPr>
            <w:tcW w:w="489" w:type="pct"/>
            <w:vAlign w:val="center"/>
          </w:tcPr>
          <w:p>
            <w:pPr>
              <w:spacing w:line="240" w:lineRule="auto"/>
              <w:ind w:firstLine="0" w:firstLineChars="0"/>
              <w:jc w:val="center"/>
              <w:rPr>
                <w:rFonts w:hint="default" w:ascii="Times New Roman" w:hAnsi="Times New Roman" w:eastAsia="仿宋_GB2312" w:cs="Times New Roman"/>
                <w:bCs/>
                <w:sz w:val="21"/>
                <w:szCs w:val="21"/>
                <w:lang w:val="en-US" w:eastAsia="zh-CN"/>
              </w:rPr>
            </w:pPr>
            <w:r>
              <w:rPr>
                <w:rFonts w:hint="eastAsia" w:cs="Times New Roman"/>
                <w:bCs/>
                <w:sz w:val="21"/>
                <w:szCs w:val="21"/>
                <w:lang w:val="en-US" w:eastAsia="zh-CN"/>
              </w:rPr>
              <w:t>0.75</w:t>
            </w:r>
          </w:p>
        </w:tc>
        <w:tc>
          <w:tcPr>
            <w:tcW w:w="730" w:type="pct"/>
            <w:vAlign w:val="center"/>
          </w:tcPr>
          <w:p>
            <w:pPr>
              <w:widowControl/>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550</w:t>
            </w:r>
          </w:p>
        </w:tc>
        <w:tc>
          <w:tcPr>
            <w:tcW w:w="717" w:type="pct"/>
            <w:vAlign w:val="center"/>
          </w:tcPr>
          <w:p>
            <w:pPr>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150</w:t>
            </w:r>
          </w:p>
        </w:tc>
        <w:tc>
          <w:tcPr>
            <w:tcW w:w="462" w:type="pct"/>
            <w:noWrap/>
            <w:vAlign w:val="center"/>
          </w:tcPr>
          <w:p>
            <w:pPr>
              <w:spacing w:line="240" w:lineRule="auto"/>
              <w:ind w:firstLine="0" w:firstLineChars="0"/>
              <w:jc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0.25</w:t>
            </w:r>
          </w:p>
        </w:tc>
        <w:tc>
          <w:tcPr>
            <w:tcW w:w="482" w:type="pct"/>
            <w:noWrap/>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1.03</w:t>
            </w:r>
          </w:p>
        </w:tc>
        <w:tc>
          <w:tcPr>
            <w:tcW w:w="462" w:type="pct"/>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0.28</w:t>
            </w:r>
          </w:p>
        </w:tc>
        <w:tc>
          <w:tcPr>
            <w:tcW w:w="529" w:type="pct"/>
            <w:vAlign w:val="center"/>
          </w:tcPr>
          <w:p>
            <w:pPr>
              <w:widowControl/>
              <w:spacing w:line="240" w:lineRule="auto"/>
              <w:ind w:firstLine="0" w:firstLineChars="0"/>
              <w:jc w:val="center"/>
              <w:textAlignment w:val="center"/>
              <w:rPr>
                <w:rFonts w:hint="default" w:ascii="Times New Roman" w:hAnsi="Times New Roman" w:eastAsia="仿宋_GB2312" w:cs="Times New Roman"/>
                <w:color w:val="000000"/>
                <w:sz w:val="21"/>
                <w:szCs w:val="21"/>
                <w:lang w:val="en-US" w:eastAsia="zh-CN"/>
              </w:rPr>
            </w:pPr>
            <w:r>
              <w:rPr>
                <w:rFonts w:hint="eastAsia" w:cs="Times New Roman"/>
                <w:color w:val="000000"/>
                <w:sz w:val="21"/>
                <w:szCs w:val="21"/>
                <w:lang w:val="en-US" w:eastAsia="zh-CN"/>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3" w:type="pct"/>
            <w:vMerge w:val="continue"/>
            <w:vAlign w:val="center"/>
          </w:tcPr>
          <w:p>
            <w:pPr>
              <w:widowControl/>
              <w:spacing w:line="240" w:lineRule="auto"/>
              <w:ind w:firstLine="0" w:firstLineChars="0"/>
              <w:jc w:val="center"/>
              <w:rPr>
                <w:rFonts w:ascii="Times New Roman" w:hAnsi="Times New Roman" w:cs="Times New Roman"/>
                <w:kern w:val="0"/>
                <w:sz w:val="21"/>
                <w:szCs w:val="21"/>
              </w:rPr>
            </w:pPr>
          </w:p>
        </w:tc>
        <w:tc>
          <w:tcPr>
            <w:tcW w:w="701" w:type="pc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小计</w:t>
            </w:r>
          </w:p>
        </w:tc>
        <w:tc>
          <w:tcPr>
            <w:tcW w:w="489" w:type="pct"/>
            <w:vAlign w:val="center"/>
          </w:tcPr>
          <w:p>
            <w:pPr>
              <w:spacing w:line="240" w:lineRule="auto"/>
              <w:ind w:firstLine="0" w:firstLineChars="0"/>
              <w:jc w:val="center"/>
              <w:rPr>
                <w:rFonts w:hint="default" w:ascii="Times New Roman" w:hAnsi="Times New Roman" w:eastAsia="仿宋_GB2312" w:cs="Times New Roman"/>
                <w:bCs/>
                <w:sz w:val="21"/>
                <w:szCs w:val="21"/>
                <w:lang w:val="en-US" w:eastAsia="zh-CN"/>
              </w:rPr>
            </w:pPr>
            <w:r>
              <w:rPr>
                <w:rFonts w:hint="eastAsia" w:cs="Times New Roman"/>
                <w:bCs/>
                <w:sz w:val="21"/>
                <w:szCs w:val="21"/>
                <w:lang w:val="en-US" w:eastAsia="zh-CN"/>
              </w:rPr>
              <w:t>2.88</w:t>
            </w:r>
          </w:p>
        </w:tc>
        <w:tc>
          <w:tcPr>
            <w:tcW w:w="730" w:type="pct"/>
            <w:vAlign w:val="center"/>
          </w:tcPr>
          <w:p>
            <w:pPr>
              <w:widowControl/>
              <w:spacing w:line="240" w:lineRule="auto"/>
              <w:ind w:firstLine="0" w:firstLineChars="0"/>
              <w:jc w:val="center"/>
              <w:rPr>
                <w:rFonts w:ascii="Times New Roman" w:hAnsi="Times New Roman" w:cs="Times New Roman"/>
                <w:kern w:val="0"/>
                <w:sz w:val="21"/>
                <w:szCs w:val="21"/>
              </w:rPr>
            </w:pPr>
          </w:p>
        </w:tc>
        <w:tc>
          <w:tcPr>
            <w:tcW w:w="717" w:type="pct"/>
            <w:vAlign w:val="center"/>
          </w:tcPr>
          <w:p>
            <w:pPr>
              <w:spacing w:line="240" w:lineRule="auto"/>
              <w:ind w:firstLine="0" w:firstLineChars="0"/>
              <w:jc w:val="center"/>
              <w:rPr>
                <w:rFonts w:ascii="Times New Roman" w:hAnsi="Times New Roman" w:cs="Times New Roman"/>
                <w:sz w:val="21"/>
                <w:szCs w:val="21"/>
              </w:rPr>
            </w:pPr>
          </w:p>
        </w:tc>
        <w:tc>
          <w:tcPr>
            <w:tcW w:w="462" w:type="pct"/>
            <w:noWrap/>
            <w:vAlign w:val="center"/>
          </w:tcPr>
          <w:p>
            <w:pPr>
              <w:widowControl/>
              <w:spacing w:line="240" w:lineRule="auto"/>
              <w:ind w:firstLine="0" w:firstLineChars="0"/>
              <w:jc w:val="center"/>
              <w:rPr>
                <w:rFonts w:ascii="Times New Roman" w:hAnsi="Times New Roman" w:cs="Times New Roman"/>
                <w:kern w:val="0"/>
                <w:sz w:val="21"/>
                <w:szCs w:val="21"/>
              </w:rPr>
            </w:pPr>
          </w:p>
        </w:tc>
        <w:tc>
          <w:tcPr>
            <w:tcW w:w="482" w:type="pct"/>
            <w:noWrap/>
            <w:vAlign w:val="center"/>
          </w:tcPr>
          <w:p>
            <w:pPr>
              <w:widowControl/>
              <w:spacing w:line="240" w:lineRule="auto"/>
              <w:ind w:firstLine="0" w:firstLineChars="0"/>
              <w:jc w:val="center"/>
              <w:textAlignment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 sum(G2:G4) \* MERGEFORMAT </w:instrText>
            </w:r>
            <w:r>
              <w:rPr>
                <w:rFonts w:ascii="Times New Roman" w:hAnsi="Times New Roman" w:cs="Times New Roman"/>
                <w:sz w:val="21"/>
                <w:szCs w:val="21"/>
              </w:rPr>
              <w:fldChar w:fldCharType="separate"/>
            </w:r>
            <w:r>
              <w:rPr>
                <w:rFonts w:ascii="Times New Roman" w:hAnsi="Times New Roman" w:cs="Times New Roman"/>
                <w:sz w:val="21"/>
                <w:szCs w:val="21"/>
              </w:rPr>
              <w:t>7.81</w:t>
            </w:r>
            <w:r>
              <w:rPr>
                <w:rFonts w:ascii="Times New Roman" w:hAnsi="Times New Roman" w:cs="Times New Roman"/>
                <w:sz w:val="21"/>
                <w:szCs w:val="21"/>
              </w:rPr>
              <w:fldChar w:fldCharType="end"/>
            </w:r>
          </w:p>
        </w:tc>
        <w:tc>
          <w:tcPr>
            <w:tcW w:w="462" w:type="pct"/>
            <w:vAlign w:val="center"/>
          </w:tcPr>
          <w:p>
            <w:pPr>
              <w:widowControl/>
              <w:spacing w:line="240" w:lineRule="auto"/>
              <w:ind w:firstLine="0" w:firstLineChars="0"/>
              <w:jc w:val="center"/>
              <w:textAlignment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 sum(H2:H4) \* MERGEFORMAT </w:instrText>
            </w:r>
            <w:r>
              <w:rPr>
                <w:rFonts w:ascii="Times New Roman" w:hAnsi="Times New Roman" w:cs="Times New Roman"/>
                <w:sz w:val="21"/>
                <w:szCs w:val="21"/>
              </w:rPr>
              <w:fldChar w:fldCharType="separate"/>
            </w:r>
            <w:r>
              <w:rPr>
                <w:rFonts w:ascii="Times New Roman" w:hAnsi="Times New Roman" w:cs="Times New Roman"/>
                <w:sz w:val="21"/>
                <w:szCs w:val="21"/>
              </w:rPr>
              <w:t>1.08</w:t>
            </w:r>
            <w:r>
              <w:rPr>
                <w:rFonts w:ascii="Times New Roman" w:hAnsi="Times New Roman" w:cs="Times New Roman"/>
                <w:sz w:val="21"/>
                <w:szCs w:val="21"/>
              </w:rPr>
              <w:fldChar w:fldCharType="end"/>
            </w:r>
          </w:p>
        </w:tc>
        <w:tc>
          <w:tcPr>
            <w:tcW w:w="529" w:type="pct"/>
            <w:vAlign w:val="center"/>
          </w:tcPr>
          <w:p>
            <w:pPr>
              <w:widowControl/>
              <w:spacing w:line="240" w:lineRule="auto"/>
              <w:ind w:firstLine="0" w:firstLineChars="0"/>
              <w:jc w:val="center"/>
              <w:textAlignment w:val="center"/>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 sum(I2:I4) \* MERGEFORMAT </w:instrText>
            </w:r>
            <w:r>
              <w:rPr>
                <w:rFonts w:ascii="Times New Roman" w:hAnsi="Times New Roman" w:cs="Times New Roman"/>
                <w:sz w:val="21"/>
                <w:szCs w:val="21"/>
              </w:rPr>
              <w:fldChar w:fldCharType="separate"/>
            </w:r>
            <w:r>
              <w:rPr>
                <w:rFonts w:ascii="Times New Roman" w:hAnsi="Times New Roman" w:cs="Times New Roman"/>
                <w:sz w:val="21"/>
                <w:szCs w:val="21"/>
              </w:rPr>
              <w:t>6.73</w:t>
            </w:r>
            <w:r>
              <w:rPr>
                <w:rFonts w:ascii="Times New Roman" w:hAnsi="Times New Roman" w:cs="Times New Roman"/>
                <w:sz w:val="21"/>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3" w:type="pct"/>
            <w:vMerge w:val="restart"/>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自然恢复期</w:t>
            </w:r>
          </w:p>
        </w:tc>
        <w:tc>
          <w:tcPr>
            <w:tcW w:w="701" w:type="pct"/>
            <w:vAlign w:val="center"/>
          </w:tcPr>
          <w:p>
            <w:pPr>
              <w:widowControl/>
              <w:spacing w:line="240" w:lineRule="auto"/>
              <w:ind w:firstLine="0" w:firstLineChars="0"/>
              <w:jc w:val="both"/>
              <w:rPr>
                <w:rFonts w:hint="eastAsia" w:cs="Times New Roman"/>
                <w:kern w:val="0"/>
                <w:sz w:val="21"/>
                <w:szCs w:val="21"/>
                <w:lang w:val="en-US" w:eastAsia="zh-CN"/>
              </w:rPr>
            </w:pPr>
            <w:r>
              <w:rPr>
                <w:rFonts w:hint="eastAsia" w:cs="Times New Roman"/>
                <w:kern w:val="0"/>
                <w:sz w:val="21"/>
                <w:szCs w:val="21"/>
                <w:lang w:val="en-US" w:eastAsia="zh-CN"/>
              </w:rPr>
              <w:t>集电线路区</w:t>
            </w:r>
          </w:p>
        </w:tc>
        <w:tc>
          <w:tcPr>
            <w:tcW w:w="489"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1.80</w:t>
            </w:r>
          </w:p>
        </w:tc>
        <w:tc>
          <w:tcPr>
            <w:tcW w:w="730"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140</w:t>
            </w:r>
          </w:p>
        </w:tc>
        <w:tc>
          <w:tcPr>
            <w:tcW w:w="717"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150</w:t>
            </w:r>
          </w:p>
        </w:tc>
        <w:tc>
          <w:tcPr>
            <w:tcW w:w="462" w:type="pct"/>
            <w:noWrap/>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2</w:t>
            </w:r>
          </w:p>
        </w:tc>
        <w:tc>
          <w:tcPr>
            <w:tcW w:w="482" w:type="pct"/>
            <w:noWrap/>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5.04</w:t>
            </w:r>
          </w:p>
        </w:tc>
        <w:tc>
          <w:tcPr>
            <w:tcW w:w="462"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5.4</w:t>
            </w:r>
          </w:p>
        </w:tc>
        <w:tc>
          <w:tcPr>
            <w:tcW w:w="529"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3" w:type="pct"/>
            <w:vMerge w:val="continue"/>
            <w:vAlign w:val="center"/>
          </w:tcPr>
          <w:p>
            <w:pPr>
              <w:widowControl/>
              <w:spacing w:line="240" w:lineRule="auto"/>
              <w:ind w:firstLine="0" w:firstLineChars="0"/>
              <w:jc w:val="center"/>
              <w:rPr>
                <w:rFonts w:ascii="Times New Roman" w:hAnsi="Times New Roman" w:cs="Times New Roman"/>
                <w:kern w:val="0"/>
                <w:sz w:val="21"/>
                <w:szCs w:val="21"/>
              </w:rPr>
            </w:pPr>
          </w:p>
        </w:tc>
        <w:tc>
          <w:tcPr>
            <w:tcW w:w="701" w:type="pct"/>
            <w:vAlign w:val="center"/>
          </w:tcPr>
          <w:p>
            <w:pPr>
              <w:widowControl/>
              <w:spacing w:line="240" w:lineRule="auto"/>
              <w:ind w:firstLine="0" w:firstLineChars="0"/>
              <w:jc w:val="both"/>
              <w:rPr>
                <w:rFonts w:hint="eastAsia" w:cs="Times New Roman"/>
                <w:kern w:val="0"/>
                <w:sz w:val="21"/>
                <w:szCs w:val="21"/>
                <w:lang w:val="en-US" w:eastAsia="zh-CN"/>
              </w:rPr>
            </w:pPr>
            <w:r>
              <w:rPr>
                <w:rFonts w:hint="eastAsia" w:cs="Times New Roman"/>
                <w:kern w:val="0"/>
                <w:sz w:val="21"/>
                <w:szCs w:val="21"/>
                <w:lang w:val="en-US" w:eastAsia="zh-CN"/>
              </w:rPr>
              <w:t>施工道路</w:t>
            </w:r>
            <w:r>
              <w:rPr>
                <w:rFonts w:ascii="Times New Roman" w:hAnsi="Times New Roman" w:cs="Times New Roman"/>
                <w:kern w:val="0"/>
                <w:sz w:val="21"/>
                <w:szCs w:val="21"/>
              </w:rPr>
              <w:t>区</w:t>
            </w:r>
          </w:p>
        </w:tc>
        <w:tc>
          <w:tcPr>
            <w:tcW w:w="489"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0.28</w:t>
            </w:r>
          </w:p>
        </w:tc>
        <w:tc>
          <w:tcPr>
            <w:tcW w:w="730"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140</w:t>
            </w:r>
          </w:p>
        </w:tc>
        <w:tc>
          <w:tcPr>
            <w:tcW w:w="717"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150</w:t>
            </w:r>
          </w:p>
        </w:tc>
        <w:tc>
          <w:tcPr>
            <w:tcW w:w="462" w:type="pct"/>
            <w:noWrap/>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2</w:t>
            </w:r>
          </w:p>
        </w:tc>
        <w:tc>
          <w:tcPr>
            <w:tcW w:w="482" w:type="pct"/>
            <w:noWrap/>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0.78</w:t>
            </w:r>
          </w:p>
        </w:tc>
        <w:tc>
          <w:tcPr>
            <w:tcW w:w="462"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0.84</w:t>
            </w:r>
          </w:p>
        </w:tc>
        <w:tc>
          <w:tcPr>
            <w:tcW w:w="529"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3" w:type="pct"/>
            <w:vMerge w:val="continue"/>
            <w:vAlign w:val="center"/>
          </w:tcPr>
          <w:p>
            <w:pPr>
              <w:widowControl/>
              <w:spacing w:line="240" w:lineRule="auto"/>
              <w:ind w:firstLine="0" w:firstLineChars="0"/>
              <w:jc w:val="center"/>
              <w:rPr>
                <w:rFonts w:ascii="Times New Roman" w:hAnsi="Times New Roman" w:cs="Times New Roman"/>
                <w:kern w:val="0"/>
                <w:sz w:val="21"/>
                <w:szCs w:val="21"/>
              </w:rPr>
            </w:pPr>
          </w:p>
        </w:tc>
        <w:tc>
          <w:tcPr>
            <w:tcW w:w="701" w:type="pct"/>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bidi="ar-SA"/>
              </w:rPr>
            </w:pPr>
            <w:r>
              <w:rPr>
                <w:rFonts w:hint="eastAsia" w:cs="Times New Roman"/>
                <w:kern w:val="0"/>
                <w:sz w:val="21"/>
                <w:szCs w:val="21"/>
                <w:lang w:val="en-US" w:eastAsia="zh-CN"/>
              </w:rPr>
              <w:t>牵张场区</w:t>
            </w:r>
          </w:p>
        </w:tc>
        <w:tc>
          <w:tcPr>
            <w:tcW w:w="489"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0.75</w:t>
            </w:r>
          </w:p>
        </w:tc>
        <w:tc>
          <w:tcPr>
            <w:tcW w:w="730"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140</w:t>
            </w:r>
          </w:p>
        </w:tc>
        <w:tc>
          <w:tcPr>
            <w:tcW w:w="717"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150</w:t>
            </w:r>
          </w:p>
        </w:tc>
        <w:tc>
          <w:tcPr>
            <w:tcW w:w="462" w:type="pct"/>
            <w:noWrap/>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2</w:t>
            </w:r>
          </w:p>
        </w:tc>
        <w:tc>
          <w:tcPr>
            <w:tcW w:w="482" w:type="pct"/>
            <w:noWrap/>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2.10</w:t>
            </w:r>
          </w:p>
        </w:tc>
        <w:tc>
          <w:tcPr>
            <w:tcW w:w="462"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2.25</w:t>
            </w:r>
          </w:p>
        </w:tc>
        <w:tc>
          <w:tcPr>
            <w:tcW w:w="529"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423" w:type="pct"/>
            <w:vMerge w:val="continue"/>
            <w:vAlign w:val="center"/>
          </w:tcPr>
          <w:p>
            <w:pPr>
              <w:widowControl/>
              <w:spacing w:line="240" w:lineRule="auto"/>
              <w:ind w:firstLine="0" w:firstLineChars="0"/>
              <w:jc w:val="center"/>
              <w:rPr>
                <w:rFonts w:ascii="Times New Roman" w:hAnsi="Times New Roman" w:cs="Times New Roman"/>
                <w:kern w:val="0"/>
                <w:sz w:val="21"/>
                <w:szCs w:val="21"/>
              </w:rPr>
            </w:pPr>
          </w:p>
        </w:tc>
        <w:tc>
          <w:tcPr>
            <w:tcW w:w="701" w:type="pct"/>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bidi="ar-SA"/>
              </w:rPr>
            </w:pPr>
            <w:r>
              <w:rPr>
                <w:rFonts w:ascii="Times New Roman" w:hAnsi="Times New Roman" w:cs="Times New Roman"/>
                <w:kern w:val="0"/>
                <w:sz w:val="21"/>
                <w:szCs w:val="21"/>
              </w:rPr>
              <w:t>小计</w:t>
            </w:r>
          </w:p>
        </w:tc>
        <w:tc>
          <w:tcPr>
            <w:tcW w:w="489" w:type="pct"/>
            <w:vAlign w:val="center"/>
          </w:tcPr>
          <w:p>
            <w:pPr>
              <w:widowControl/>
              <w:spacing w:line="240" w:lineRule="auto"/>
              <w:ind w:firstLine="0" w:firstLineChars="0"/>
              <w:jc w:val="center"/>
              <w:rPr>
                <w:rFonts w:hint="default" w:cs="Times New Roman"/>
                <w:kern w:val="0"/>
                <w:sz w:val="21"/>
                <w:szCs w:val="21"/>
                <w:lang w:val="en-US" w:eastAsia="zh-CN"/>
              </w:rPr>
            </w:pPr>
            <w:r>
              <w:rPr>
                <w:rFonts w:hint="eastAsia" w:cs="Times New Roman"/>
                <w:kern w:val="0"/>
                <w:sz w:val="21"/>
                <w:szCs w:val="21"/>
                <w:lang w:val="en-US" w:eastAsia="zh-CN"/>
              </w:rPr>
              <w:t>2.83</w:t>
            </w:r>
          </w:p>
        </w:tc>
        <w:tc>
          <w:tcPr>
            <w:tcW w:w="730" w:type="pct"/>
            <w:vAlign w:val="center"/>
          </w:tcPr>
          <w:p>
            <w:pPr>
              <w:widowControl/>
              <w:spacing w:line="240" w:lineRule="auto"/>
              <w:ind w:firstLine="0" w:firstLineChars="0"/>
              <w:jc w:val="center"/>
              <w:rPr>
                <w:rFonts w:hint="eastAsia" w:cs="Times New Roman"/>
                <w:kern w:val="0"/>
                <w:sz w:val="21"/>
                <w:szCs w:val="21"/>
                <w:lang w:val="en-US" w:eastAsia="zh-CN"/>
              </w:rPr>
            </w:pPr>
          </w:p>
        </w:tc>
        <w:tc>
          <w:tcPr>
            <w:tcW w:w="717" w:type="pct"/>
            <w:vAlign w:val="center"/>
          </w:tcPr>
          <w:p>
            <w:pPr>
              <w:widowControl/>
              <w:spacing w:line="240" w:lineRule="auto"/>
              <w:ind w:firstLine="0" w:firstLineChars="0"/>
              <w:jc w:val="center"/>
              <w:rPr>
                <w:rFonts w:hint="eastAsia" w:cs="Times New Roman"/>
                <w:kern w:val="0"/>
                <w:sz w:val="21"/>
                <w:szCs w:val="21"/>
                <w:lang w:val="en-US" w:eastAsia="zh-CN"/>
              </w:rPr>
            </w:pPr>
          </w:p>
        </w:tc>
        <w:tc>
          <w:tcPr>
            <w:tcW w:w="462" w:type="pct"/>
            <w:noWrap/>
            <w:vAlign w:val="center"/>
          </w:tcPr>
          <w:p>
            <w:pPr>
              <w:widowControl/>
              <w:spacing w:line="240" w:lineRule="auto"/>
              <w:ind w:firstLine="0" w:firstLineChars="0"/>
              <w:jc w:val="center"/>
              <w:rPr>
                <w:rFonts w:hint="eastAsia" w:cs="Times New Roman"/>
                <w:kern w:val="0"/>
                <w:sz w:val="21"/>
                <w:szCs w:val="21"/>
                <w:lang w:val="en-US" w:eastAsia="zh-CN"/>
              </w:rPr>
            </w:pPr>
          </w:p>
        </w:tc>
        <w:tc>
          <w:tcPr>
            <w:tcW w:w="482" w:type="pct"/>
            <w:noWrap/>
            <w:vAlign w:val="center"/>
          </w:tcPr>
          <w:p>
            <w:pPr>
              <w:widowControl/>
              <w:spacing w:line="240" w:lineRule="auto"/>
              <w:ind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fldChar w:fldCharType="begin"/>
            </w:r>
            <w:r>
              <w:rPr>
                <w:rFonts w:hint="eastAsia" w:cs="Times New Roman"/>
                <w:kern w:val="0"/>
                <w:sz w:val="21"/>
                <w:szCs w:val="21"/>
                <w:lang w:val="en-US" w:eastAsia="zh-CN"/>
              </w:rPr>
              <w:instrText xml:space="preserve"> = sum(G6:G8) \* MERGEFORMAT </w:instrText>
            </w:r>
            <w:r>
              <w:rPr>
                <w:rFonts w:hint="eastAsia" w:cs="Times New Roman"/>
                <w:kern w:val="0"/>
                <w:sz w:val="21"/>
                <w:szCs w:val="21"/>
                <w:lang w:val="en-US" w:eastAsia="zh-CN"/>
              </w:rPr>
              <w:fldChar w:fldCharType="separate"/>
            </w:r>
            <w:r>
              <w:rPr>
                <w:rFonts w:hint="eastAsia" w:cs="Times New Roman"/>
                <w:kern w:val="0"/>
                <w:sz w:val="21"/>
                <w:szCs w:val="21"/>
                <w:lang w:val="en-US" w:eastAsia="zh-CN"/>
              </w:rPr>
              <w:t>7.92</w:t>
            </w:r>
            <w:r>
              <w:rPr>
                <w:rFonts w:hint="eastAsia" w:cs="Times New Roman"/>
                <w:kern w:val="0"/>
                <w:sz w:val="21"/>
                <w:szCs w:val="21"/>
                <w:lang w:val="en-US" w:eastAsia="zh-CN"/>
              </w:rPr>
              <w:fldChar w:fldCharType="end"/>
            </w:r>
          </w:p>
        </w:tc>
        <w:tc>
          <w:tcPr>
            <w:tcW w:w="462" w:type="pct"/>
            <w:vAlign w:val="center"/>
          </w:tcPr>
          <w:p>
            <w:pPr>
              <w:widowControl/>
              <w:spacing w:line="240" w:lineRule="auto"/>
              <w:ind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fldChar w:fldCharType="begin"/>
            </w:r>
            <w:r>
              <w:rPr>
                <w:rFonts w:hint="eastAsia" w:cs="Times New Roman"/>
                <w:kern w:val="0"/>
                <w:sz w:val="21"/>
                <w:szCs w:val="21"/>
                <w:lang w:val="en-US" w:eastAsia="zh-CN"/>
              </w:rPr>
              <w:instrText xml:space="preserve"> = sum(H6:H8) \* MERGEFORMAT </w:instrText>
            </w:r>
            <w:r>
              <w:rPr>
                <w:rFonts w:hint="eastAsia" w:cs="Times New Roman"/>
                <w:kern w:val="0"/>
                <w:sz w:val="21"/>
                <w:szCs w:val="21"/>
                <w:lang w:val="en-US" w:eastAsia="zh-CN"/>
              </w:rPr>
              <w:fldChar w:fldCharType="separate"/>
            </w:r>
            <w:r>
              <w:rPr>
                <w:rFonts w:hint="eastAsia" w:cs="Times New Roman"/>
                <w:kern w:val="0"/>
                <w:sz w:val="21"/>
                <w:szCs w:val="21"/>
                <w:lang w:val="en-US" w:eastAsia="zh-CN"/>
              </w:rPr>
              <w:t>8.49</w:t>
            </w:r>
            <w:r>
              <w:rPr>
                <w:rFonts w:hint="eastAsia" w:cs="Times New Roman"/>
                <w:kern w:val="0"/>
                <w:sz w:val="21"/>
                <w:szCs w:val="21"/>
                <w:lang w:val="en-US" w:eastAsia="zh-CN"/>
              </w:rPr>
              <w:fldChar w:fldCharType="end"/>
            </w:r>
          </w:p>
        </w:tc>
        <w:tc>
          <w:tcPr>
            <w:tcW w:w="529" w:type="pct"/>
            <w:vAlign w:val="center"/>
          </w:tcPr>
          <w:p>
            <w:pPr>
              <w:widowControl/>
              <w:spacing w:line="240" w:lineRule="auto"/>
              <w:ind w:firstLine="0" w:firstLineChars="0"/>
              <w:jc w:val="center"/>
              <w:rPr>
                <w:rFonts w:hint="eastAsia" w:cs="Times New Roman"/>
                <w:kern w:val="0"/>
                <w:sz w:val="21"/>
                <w:szCs w:val="21"/>
                <w:lang w:val="en-US" w:eastAsia="zh-CN"/>
              </w:rPr>
            </w:pPr>
            <w:r>
              <w:rPr>
                <w:rFonts w:hint="eastAsia" w:cs="Times New Roman"/>
                <w:kern w:val="0"/>
                <w:sz w:val="21"/>
                <w:szCs w:val="21"/>
                <w:lang w:val="en-US" w:eastAsia="zh-CN"/>
              </w:rPr>
              <w:fldChar w:fldCharType="begin"/>
            </w:r>
            <w:r>
              <w:rPr>
                <w:rFonts w:hint="eastAsia" w:cs="Times New Roman"/>
                <w:kern w:val="0"/>
                <w:sz w:val="21"/>
                <w:szCs w:val="21"/>
                <w:lang w:val="en-US" w:eastAsia="zh-CN"/>
              </w:rPr>
              <w:instrText xml:space="preserve"> = sum(I6:I8) \* MERGEFORMAT </w:instrText>
            </w:r>
            <w:r>
              <w:rPr>
                <w:rFonts w:hint="eastAsia" w:cs="Times New Roman"/>
                <w:kern w:val="0"/>
                <w:sz w:val="21"/>
                <w:szCs w:val="21"/>
                <w:lang w:val="en-US" w:eastAsia="zh-CN"/>
              </w:rPr>
              <w:fldChar w:fldCharType="separate"/>
            </w:r>
            <w:r>
              <w:rPr>
                <w:rFonts w:hint="eastAsia" w:cs="Times New Roman"/>
                <w:kern w:val="0"/>
                <w:sz w:val="21"/>
                <w:szCs w:val="21"/>
                <w:lang w:val="en-US" w:eastAsia="zh-CN"/>
              </w:rPr>
              <w:t>-0.57</w:t>
            </w:r>
            <w:r>
              <w:rPr>
                <w:rFonts w:hint="eastAsia" w:cs="Times New Roman"/>
                <w:kern w:val="0"/>
                <w:sz w:val="21"/>
                <w:szCs w:val="21"/>
                <w:lang w:val="en-US" w:eastAsia="zh-C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124" w:type="pct"/>
            <w:gridSpan w:val="2"/>
            <w:noWrap/>
            <w:vAlign w:val="center"/>
          </w:tcPr>
          <w:p>
            <w:pPr>
              <w:widowControl/>
              <w:spacing w:line="240" w:lineRule="auto"/>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合计</w:t>
            </w:r>
          </w:p>
        </w:tc>
        <w:tc>
          <w:tcPr>
            <w:tcW w:w="489" w:type="pct"/>
            <w:noWrap/>
            <w:vAlign w:val="center"/>
          </w:tcPr>
          <w:p>
            <w:pPr>
              <w:widowControl/>
              <w:spacing w:line="240" w:lineRule="auto"/>
              <w:ind w:firstLine="0" w:firstLineChars="0"/>
              <w:jc w:val="center"/>
              <w:rPr>
                <w:rFonts w:ascii="Times New Roman" w:hAnsi="Times New Roman" w:cs="Times New Roman"/>
                <w:kern w:val="0"/>
                <w:sz w:val="21"/>
                <w:szCs w:val="21"/>
              </w:rPr>
            </w:pPr>
          </w:p>
        </w:tc>
        <w:tc>
          <w:tcPr>
            <w:tcW w:w="730" w:type="pct"/>
            <w:noWrap/>
            <w:vAlign w:val="center"/>
          </w:tcPr>
          <w:p>
            <w:pPr>
              <w:widowControl/>
              <w:spacing w:line="240" w:lineRule="auto"/>
              <w:ind w:firstLine="0" w:firstLineChars="0"/>
              <w:jc w:val="center"/>
              <w:rPr>
                <w:rFonts w:ascii="Times New Roman" w:hAnsi="Times New Roman" w:cs="Times New Roman"/>
                <w:kern w:val="0"/>
                <w:sz w:val="21"/>
                <w:szCs w:val="21"/>
              </w:rPr>
            </w:pPr>
          </w:p>
        </w:tc>
        <w:tc>
          <w:tcPr>
            <w:tcW w:w="717" w:type="pct"/>
            <w:noWrap/>
            <w:vAlign w:val="center"/>
          </w:tcPr>
          <w:p>
            <w:pPr>
              <w:widowControl/>
              <w:spacing w:line="240" w:lineRule="auto"/>
              <w:ind w:firstLine="0" w:firstLineChars="0"/>
              <w:jc w:val="center"/>
              <w:rPr>
                <w:rFonts w:ascii="Times New Roman" w:hAnsi="Times New Roman" w:cs="Times New Roman"/>
                <w:kern w:val="0"/>
                <w:sz w:val="21"/>
                <w:szCs w:val="21"/>
              </w:rPr>
            </w:pPr>
          </w:p>
        </w:tc>
        <w:tc>
          <w:tcPr>
            <w:tcW w:w="462" w:type="pct"/>
            <w:noWrap/>
            <w:vAlign w:val="center"/>
          </w:tcPr>
          <w:p>
            <w:pPr>
              <w:widowControl/>
              <w:spacing w:line="240" w:lineRule="auto"/>
              <w:ind w:firstLine="0" w:firstLineChars="0"/>
              <w:jc w:val="center"/>
              <w:rPr>
                <w:rFonts w:ascii="Times New Roman" w:hAnsi="Times New Roman" w:cs="Times New Roman"/>
                <w:kern w:val="0"/>
                <w:sz w:val="21"/>
                <w:szCs w:val="21"/>
              </w:rPr>
            </w:pPr>
          </w:p>
        </w:tc>
        <w:tc>
          <w:tcPr>
            <w:tcW w:w="482" w:type="pct"/>
            <w:noWrap/>
            <w:vAlign w:val="center"/>
          </w:tcPr>
          <w:p>
            <w:pPr>
              <w:widowControl/>
              <w:spacing w:line="240" w:lineRule="auto"/>
              <w:ind w:firstLine="0" w:firstLineChars="0"/>
              <w:jc w:val="center"/>
              <w:textAlignment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15.73</w:t>
            </w:r>
          </w:p>
        </w:tc>
        <w:tc>
          <w:tcPr>
            <w:tcW w:w="462" w:type="pct"/>
            <w:noWrap/>
            <w:vAlign w:val="center"/>
          </w:tcPr>
          <w:p>
            <w:pPr>
              <w:widowControl/>
              <w:spacing w:line="240" w:lineRule="auto"/>
              <w:ind w:firstLine="0" w:firstLineChars="0"/>
              <w:jc w:val="center"/>
              <w:textAlignment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9.57</w:t>
            </w:r>
          </w:p>
        </w:tc>
        <w:tc>
          <w:tcPr>
            <w:tcW w:w="529" w:type="pct"/>
            <w:noWrap/>
            <w:vAlign w:val="center"/>
          </w:tcPr>
          <w:p>
            <w:pPr>
              <w:widowControl/>
              <w:spacing w:line="240" w:lineRule="auto"/>
              <w:ind w:firstLine="0" w:firstLineChars="0"/>
              <w:jc w:val="center"/>
              <w:textAlignment w:val="center"/>
              <w:rPr>
                <w:rFonts w:hint="default" w:ascii="Times New Roman" w:hAnsi="Times New Roman" w:eastAsia="仿宋_GB2312" w:cs="Times New Roman"/>
                <w:sz w:val="21"/>
                <w:szCs w:val="21"/>
                <w:lang w:val="en-US" w:eastAsia="zh-CN"/>
              </w:rPr>
            </w:pPr>
            <w:r>
              <w:rPr>
                <w:rFonts w:hint="eastAsia" w:cs="Times New Roman"/>
                <w:sz w:val="21"/>
                <w:szCs w:val="21"/>
                <w:lang w:val="en-US" w:eastAsia="zh-CN"/>
              </w:rPr>
              <w:t>6.16</w:t>
            </w:r>
          </w:p>
        </w:tc>
      </w:tr>
    </w:tbl>
    <w:p>
      <w:pPr>
        <w:pStyle w:val="3"/>
      </w:pPr>
      <w:bookmarkStart w:id="57" w:name="_Toc50731627"/>
      <w:r>
        <w:rPr>
          <w:rFonts w:hint="eastAsia"/>
          <w:lang w:val="en-US" w:eastAsia="zh-CN"/>
        </w:rPr>
        <w:t>8</w:t>
      </w:r>
      <w:r>
        <w:t xml:space="preserve"> </w:t>
      </w:r>
      <w:r>
        <w:rPr>
          <w:rFonts w:hint="eastAsia"/>
        </w:rPr>
        <w:t>水土保持措施</w:t>
      </w:r>
      <w:bookmarkEnd w:id="57"/>
    </w:p>
    <w:p>
      <w:pPr>
        <w:pStyle w:val="4"/>
      </w:pPr>
      <w:bookmarkStart w:id="58" w:name="_Toc50731628"/>
      <w:r>
        <w:rPr>
          <w:rFonts w:hint="eastAsia"/>
          <w:lang w:val="en-US" w:eastAsia="zh-CN"/>
        </w:rPr>
        <w:t>8</w:t>
      </w:r>
      <w:r>
        <w:t xml:space="preserve">.1 </w:t>
      </w:r>
      <w:r>
        <w:rPr>
          <w:rFonts w:hint="eastAsia"/>
        </w:rPr>
        <w:t>防治分区划分</w:t>
      </w:r>
      <w:bookmarkEnd w:id="58"/>
    </w:p>
    <w:p>
      <w:pPr>
        <w:ind w:firstLine="480"/>
        <w:rPr>
          <w:rFonts w:cs="Times New Roman"/>
        </w:rPr>
      </w:pPr>
      <w:r>
        <w:rPr>
          <w:rFonts w:cs="Times New Roman"/>
        </w:rPr>
        <w:t>据相关规范，结合建设活动类别、施工时序、工程布局、水土流失特点，</w:t>
      </w:r>
      <w:r>
        <w:rPr>
          <w:rFonts w:cs="Times New Roman"/>
          <w:kern w:val="0"/>
        </w:rPr>
        <w:t>通过实地调查勘测、资料收集和数据分析，</w:t>
      </w:r>
      <w:r>
        <w:rPr>
          <w:rFonts w:cs="Times New Roman"/>
        </w:rPr>
        <w:t>将工程水土流失防治分为3个防治分区。本项目水土流失防治分区详见表</w:t>
      </w:r>
      <w:r>
        <w:rPr>
          <w:rFonts w:hint="eastAsia" w:cs="Times New Roman"/>
          <w:lang w:val="en-US" w:eastAsia="zh-CN"/>
        </w:rPr>
        <w:t>9</w:t>
      </w:r>
      <w:r>
        <w:rPr>
          <w:rFonts w:cs="Times New Roman"/>
        </w:rPr>
        <w:t>-1。</w:t>
      </w:r>
    </w:p>
    <w:p>
      <w:pPr>
        <w:pStyle w:val="12"/>
        <w:ind w:firstLine="480"/>
        <w:rPr>
          <w:rFonts w:cs="Times New Roman"/>
        </w:rPr>
      </w:pPr>
      <w:r>
        <w:rPr>
          <w:rFonts w:cs="Times New Roman"/>
        </w:rPr>
        <w:t>表</w:t>
      </w:r>
      <w:r>
        <w:rPr>
          <w:rFonts w:hint="eastAsia" w:cs="Times New Roman"/>
          <w:lang w:val="en-US" w:eastAsia="zh-CN"/>
        </w:rPr>
        <w:t>8</w:t>
      </w:r>
      <w:r>
        <w:rPr>
          <w:rFonts w:cs="Times New Roman"/>
        </w:rPr>
        <w:t>-1  本项目水土流失防治区划分成果表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5"/>
        <w:gridCol w:w="1544"/>
        <w:gridCol w:w="5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065" w:type="pct"/>
            <w:vAlign w:val="center"/>
          </w:tcPr>
          <w:p>
            <w:pPr>
              <w:spacing w:line="240" w:lineRule="auto"/>
              <w:ind w:firstLine="0" w:firstLineChars="0"/>
              <w:jc w:val="center"/>
              <w:rPr>
                <w:rFonts w:cs="Times New Roman"/>
                <w:b/>
                <w:sz w:val="21"/>
                <w:szCs w:val="21"/>
              </w:rPr>
            </w:pPr>
            <w:r>
              <w:rPr>
                <w:rFonts w:cs="Times New Roman"/>
                <w:b/>
                <w:sz w:val="21"/>
                <w:szCs w:val="21"/>
              </w:rPr>
              <w:t>防治分区</w:t>
            </w:r>
          </w:p>
        </w:tc>
        <w:tc>
          <w:tcPr>
            <w:tcW w:w="906" w:type="pct"/>
            <w:vAlign w:val="center"/>
          </w:tcPr>
          <w:p>
            <w:pPr>
              <w:spacing w:line="240" w:lineRule="auto"/>
              <w:ind w:firstLine="0" w:firstLineChars="0"/>
              <w:jc w:val="center"/>
              <w:rPr>
                <w:rFonts w:cs="Times New Roman"/>
                <w:b/>
                <w:sz w:val="21"/>
                <w:szCs w:val="21"/>
              </w:rPr>
            </w:pPr>
            <w:r>
              <w:rPr>
                <w:rFonts w:cs="Times New Roman"/>
                <w:b/>
                <w:sz w:val="21"/>
                <w:szCs w:val="21"/>
              </w:rPr>
              <w:t>面积（hm²）</w:t>
            </w:r>
          </w:p>
        </w:tc>
        <w:tc>
          <w:tcPr>
            <w:tcW w:w="3028" w:type="pct"/>
            <w:vAlign w:val="center"/>
          </w:tcPr>
          <w:p>
            <w:pPr>
              <w:spacing w:line="240" w:lineRule="auto"/>
              <w:ind w:firstLine="0" w:firstLineChars="0"/>
              <w:jc w:val="center"/>
              <w:rPr>
                <w:rFonts w:cs="Times New Roman"/>
                <w:b/>
                <w:sz w:val="21"/>
                <w:szCs w:val="21"/>
              </w:rPr>
            </w:pPr>
            <w:r>
              <w:rPr>
                <w:rFonts w:hint="eastAsia" w:cs="Times New Roman"/>
                <w:b/>
                <w:sz w:val="21"/>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065" w:type="pct"/>
            <w:vAlign w:val="center"/>
          </w:tcPr>
          <w:p>
            <w:pPr>
              <w:widowControl/>
              <w:spacing w:line="240" w:lineRule="auto"/>
              <w:ind w:firstLine="0" w:firstLineChars="0"/>
              <w:jc w:val="center"/>
              <w:rPr>
                <w:rFonts w:cs="Times New Roman"/>
                <w:sz w:val="21"/>
                <w:szCs w:val="21"/>
              </w:rPr>
            </w:pPr>
            <w:r>
              <w:rPr>
                <w:rFonts w:hint="eastAsia" w:cs="Times New Roman"/>
                <w:sz w:val="21"/>
                <w:szCs w:val="21"/>
                <w:lang w:val="en-US" w:eastAsia="zh-CN"/>
              </w:rPr>
              <w:t>集电线路</w:t>
            </w:r>
            <w:r>
              <w:rPr>
                <w:rFonts w:cs="Times New Roman"/>
                <w:sz w:val="21"/>
                <w:szCs w:val="21"/>
              </w:rPr>
              <w:t>区</w:t>
            </w:r>
          </w:p>
        </w:tc>
        <w:tc>
          <w:tcPr>
            <w:tcW w:w="906" w:type="pct"/>
            <w:vAlign w:val="center"/>
          </w:tcPr>
          <w:p>
            <w:pPr>
              <w:spacing w:line="240" w:lineRule="auto"/>
              <w:ind w:firstLine="0" w:firstLineChars="0"/>
              <w:jc w:val="center"/>
              <w:rPr>
                <w:rFonts w:hint="default" w:cs="Times New Roman"/>
                <w:b w:val="0"/>
                <w:bCs/>
                <w:sz w:val="21"/>
                <w:szCs w:val="21"/>
                <w:lang w:val="en-US" w:eastAsia="zh-CN"/>
              </w:rPr>
            </w:pPr>
            <w:r>
              <w:rPr>
                <w:rFonts w:hint="eastAsia" w:cs="Times New Roman"/>
                <w:b w:val="0"/>
                <w:bCs/>
                <w:sz w:val="21"/>
                <w:szCs w:val="21"/>
                <w:lang w:val="en-US" w:eastAsia="zh-CN"/>
              </w:rPr>
              <w:t>1.85</w:t>
            </w:r>
          </w:p>
        </w:tc>
        <w:tc>
          <w:tcPr>
            <w:tcW w:w="3028" w:type="pct"/>
            <w:vAlign w:val="center"/>
          </w:tcPr>
          <w:p>
            <w:pPr>
              <w:widowControl/>
              <w:spacing w:line="240" w:lineRule="auto"/>
              <w:ind w:firstLine="0" w:firstLineChars="0"/>
              <w:jc w:val="center"/>
              <w:rPr>
                <w:rFonts w:cs="Times New Roman"/>
                <w:sz w:val="21"/>
                <w:szCs w:val="21"/>
              </w:rPr>
            </w:pPr>
            <w:r>
              <w:rPr>
                <w:rFonts w:hint="eastAsia" w:ascii="Times New Roman" w:hAnsi="Times New Roman" w:eastAsia="仿宋_GB2312" w:cs="Times New Roman"/>
                <w:b w:val="0"/>
                <w:bCs w:val="0"/>
                <w:kern w:val="0"/>
                <w:sz w:val="21"/>
                <w:szCs w:val="21"/>
                <w:lang w:val="en-US" w:eastAsia="zh-CN"/>
              </w:rPr>
              <w:t>基</w:t>
            </w:r>
            <w:r>
              <w:rPr>
                <w:rFonts w:ascii="Times New Roman" w:hAnsi="Times New Roman" w:eastAsia="仿宋_GB2312" w:cs="Times New Roman"/>
                <w:b w:val="0"/>
                <w:bCs w:val="0"/>
                <w:kern w:val="0"/>
                <w:sz w:val="21"/>
                <w:szCs w:val="21"/>
                <w:lang w:val="en-US" w:eastAsia="zh-CN"/>
              </w:rPr>
              <w:t>铁塔基础及施工吊装场地，</w:t>
            </w:r>
            <w:r>
              <w:rPr>
                <w:rFonts w:hint="default" w:ascii="Times New Roman" w:hAnsi="Times New Roman" w:eastAsia="仿宋_GB2312" w:cs="Times New Roman"/>
                <w:b w:val="0"/>
                <w:bCs w:val="0"/>
                <w:kern w:val="0"/>
                <w:sz w:val="21"/>
                <w:szCs w:val="21"/>
                <w:lang w:val="en-US" w:eastAsia="zh-CN"/>
              </w:rPr>
              <w:t>单个场地占地400m</w:t>
            </w:r>
            <w:r>
              <w:rPr>
                <w:rFonts w:hint="default" w:ascii="Times New Roman" w:hAnsi="Times New Roman" w:eastAsia="仿宋_GB2312" w:cs="Times New Roman"/>
                <w:b w:val="0"/>
                <w:bCs w:val="0"/>
                <w:kern w:val="0"/>
                <w:sz w:val="21"/>
                <w:szCs w:val="21"/>
                <w:vertAlign w:val="superscript"/>
                <w:lang w:val="en-US" w:eastAsia="zh-CN"/>
              </w:rPr>
              <w:t>2</w:t>
            </w:r>
            <w:r>
              <w:rPr>
                <w:rFonts w:hint="default" w:ascii="Times New Roman" w:hAnsi="Times New Roman" w:eastAsia="仿宋_GB2312" w:cs="Times New Roman"/>
                <w:b w:val="0"/>
                <w:bCs w:val="0"/>
                <w:kern w:val="0"/>
                <w:sz w:val="21"/>
                <w:szCs w:val="21"/>
                <w:lang w:val="en-US" w:eastAsia="zh-CN"/>
              </w:rPr>
              <w:t>。总占地</w:t>
            </w:r>
            <w:r>
              <w:rPr>
                <w:rFonts w:hint="eastAsia" w:ascii="Times New Roman" w:hAnsi="Times New Roman" w:cs="Times New Roman"/>
                <w:b w:val="0"/>
                <w:bCs w:val="0"/>
                <w:kern w:val="0"/>
                <w:sz w:val="21"/>
                <w:szCs w:val="21"/>
                <w:lang w:val="en-US" w:eastAsia="zh-CN"/>
              </w:rPr>
              <w:t>1.60</w:t>
            </w:r>
            <w:r>
              <w:rPr>
                <w:rFonts w:hint="default" w:ascii="Times New Roman" w:hAnsi="Times New Roman" w:eastAsia="仿宋_GB2312" w:cs="Times New Roman"/>
                <w:b w:val="0"/>
                <w:bCs w:val="0"/>
                <w:kern w:val="0"/>
                <w:sz w:val="21"/>
                <w:szCs w:val="21"/>
                <w:lang w:val="en-US" w:eastAsia="zh-CN"/>
              </w:rPr>
              <w:t>hm</w:t>
            </w:r>
            <w:r>
              <w:rPr>
                <w:rFonts w:hint="default" w:ascii="Times New Roman" w:hAnsi="Times New Roman" w:eastAsia="仿宋_GB2312" w:cs="Times New Roman"/>
                <w:b w:val="0"/>
                <w:bCs w:val="0"/>
                <w:kern w:val="0"/>
                <w:sz w:val="21"/>
                <w:szCs w:val="21"/>
                <w:vertAlign w:val="superscript"/>
                <w:lang w:val="en-US" w:eastAsia="zh-CN"/>
              </w:rPr>
              <w:t>2</w:t>
            </w:r>
            <w:r>
              <w:rPr>
                <w:rFonts w:hint="default" w:ascii="Times New Roman" w:hAnsi="Times New Roman" w:eastAsia="仿宋_GB2312" w:cs="Times New Roman"/>
                <w:b w:val="0"/>
                <w:bCs w:val="0"/>
                <w:kern w:val="0"/>
                <w:sz w:val="21"/>
                <w:szCs w:val="21"/>
                <w:lang w:val="en-US" w:eastAsia="zh-CN"/>
              </w:rPr>
              <w:t>；</w:t>
            </w:r>
            <w:r>
              <w:rPr>
                <w:rFonts w:hint="eastAsia" w:ascii="Times New Roman" w:hAnsi="Times New Roman" w:eastAsia="仿宋_GB2312" w:cs="Times New Roman"/>
                <w:b w:val="0"/>
                <w:bCs w:val="0"/>
                <w:kern w:val="0"/>
                <w:sz w:val="21"/>
                <w:szCs w:val="21"/>
                <w:lang w:val="en-US" w:eastAsia="zh-CN"/>
              </w:rPr>
              <w:t>其中</w:t>
            </w:r>
            <w:r>
              <w:rPr>
                <w:rFonts w:hint="eastAsia" w:ascii="Times New Roman" w:hAnsi="Times New Roman" w:cs="Times New Roman"/>
                <w:b w:val="0"/>
                <w:bCs w:val="0"/>
                <w:kern w:val="0"/>
                <w:sz w:val="21"/>
                <w:szCs w:val="21"/>
                <w:lang w:val="en-US" w:eastAsia="zh-CN"/>
              </w:rPr>
              <w:t>19</w:t>
            </w:r>
            <w:r>
              <w:rPr>
                <w:rFonts w:hint="eastAsia" w:ascii="Times New Roman" w:hAnsi="Times New Roman" w:eastAsia="仿宋_GB2312" w:cs="Times New Roman"/>
                <w:b w:val="0"/>
                <w:bCs w:val="0"/>
                <w:kern w:val="0"/>
                <w:sz w:val="21"/>
                <w:szCs w:val="21"/>
                <w:lang w:val="en-US" w:eastAsia="zh-CN"/>
              </w:rPr>
              <w:t>座耐张塔基、</w:t>
            </w:r>
            <w:r>
              <w:rPr>
                <w:rFonts w:hint="eastAsia" w:ascii="Times New Roman" w:hAnsi="Times New Roman" w:cs="Times New Roman"/>
                <w:b w:val="0"/>
                <w:bCs w:val="0"/>
                <w:kern w:val="0"/>
                <w:sz w:val="21"/>
                <w:szCs w:val="21"/>
                <w:lang w:val="en-US" w:eastAsia="zh-CN"/>
              </w:rPr>
              <w:t>21</w:t>
            </w:r>
            <w:r>
              <w:rPr>
                <w:rFonts w:hint="eastAsia" w:ascii="Times New Roman" w:hAnsi="Times New Roman" w:eastAsia="仿宋_GB2312" w:cs="Times New Roman"/>
                <w:b w:val="0"/>
                <w:bCs w:val="0"/>
                <w:kern w:val="0"/>
                <w:sz w:val="21"/>
                <w:szCs w:val="21"/>
                <w:lang w:val="en-US" w:eastAsia="zh-CN"/>
              </w:rPr>
              <w:t>座直线塔。</w:t>
            </w:r>
            <w:r>
              <w:rPr>
                <w:rFonts w:ascii="Times New Roman" w:hAnsi="Times New Roman" w:eastAsia="仿宋_GB2312" w:cs="Times New Roman"/>
                <w:b w:val="0"/>
                <w:bCs w:val="0"/>
                <w:kern w:val="0"/>
                <w:sz w:val="21"/>
                <w:szCs w:val="21"/>
                <w:lang w:val="en-US" w:eastAsia="zh-CN"/>
              </w:rPr>
              <w:t>建</w:t>
            </w:r>
            <w:r>
              <w:rPr>
                <w:rFonts w:hint="eastAsia" w:ascii="Times New Roman" w:hAnsi="Times New Roman" w:cs="Times New Roman"/>
                <w:b w:val="0"/>
                <w:bCs w:val="0"/>
                <w:kern w:val="0"/>
                <w:sz w:val="21"/>
                <w:szCs w:val="21"/>
                <w:lang w:val="en-US" w:eastAsia="zh-CN"/>
              </w:rPr>
              <w:t>设0.45</w:t>
            </w:r>
            <w:r>
              <w:rPr>
                <w:rFonts w:ascii="Times New Roman" w:hAnsi="Times New Roman" w:eastAsia="仿宋_GB2312" w:cs="Times New Roman"/>
                <w:b w:val="0"/>
                <w:bCs w:val="0"/>
                <w:kern w:val="0"/>
                <w:sz w:val="21"/>
                <w:szCs w:val="21"/>
                <w:lang w:val="en-US" w:eastAsia="zh-CN"/>
              </w:rPr>
              <w:t>km</w:t>
            </w:r>
            <w:r>
              <w:rPr>
                <w:rFonts w:hint="default" w:ascii="Times New Roman" w:hAnsi="Times New Roman" w:eastAsia="仿宋_GB2312" w:cs="Times New Roman"/>
                <w:b w:val="0"/>
                <w:bCs w:val="0"/>
                <w:kern w:val="0"/>
                <w:sz w:val="21"/>
                <w:szCs w:val="21"/>
                <w:lang w:val="en-US" w:eastAsia="zh-CN"/>
              </w:rPr>
              <w:t>直埋电缆</w:t>
            </w:r>
            <w:r>
              <w:rPr>
                <w:rFonts w:ascii="Times New Roman" w:hAnsi="Times New Roman" w:eastAsia="仿宋_GB2312" w:cs="Times New Roman"/>
                <w:b w:val="0"/>
                <w:bCs w:val="0"/>
                <w:kern w:val="0"/>
                <w:sz w:val="21"/>
                <w:szCs w:val="21"/>
                <w:lang w:val="en-US" w:eastAsia="zh-CN"/>
              </w:rPr>
              <w:t>，</w:t>
            </w:r>
            <w:r>
              <w:rPr>
                <w:rFonts w:hint="default" w:ascii="Times New Roman" w:hAnsi="Times New Roman" w:eastAsia="仿宋_GB2312" w:cs="Times New Roman"/>
                <w:b w:val="0"/>
                <w:bCs w:val="0"/>
                <w:kern w:val="0"/>
                <w:sz w:val="21"/>
                <w:szCs w:val="21"/>
                <w:lang w:val="en-US" w:eastAsia="zh-CN"/>
              </w:rPr>
              <w:t>占地</w:t>
            </w:r>
            <w:r>
              <w:rPr>
                <w:rFonts w:hint="eastAsia" w:ascii="Times New Roman" w:hAnsi="Times New Roman" w:cs="Times New Roman"/>
                <w:b w:val="0"/>
                <w:bCs w:val="0"/>
                <w:kern w:val="0"/>
                <w:sz w:val="21"/>
                <w:szCs w:val="21"/>
                <w:lang w:val="en-US" w:eastAsia="zh-CN"/>
              </w:rPr>
              <w:t>0.25</w:t>
            </w:r>
            <w:r>
              <w:rPr>
                <w:rFonts w:hint="default" w:ascii="Times New Roman" w:hAnsi="Times New Roman" w:eastAsia="仿宋_GB2312" w:cs="Times New Roman"/>
                <w:b w:val="0"/>
                <w:bCs w:val="0"/>
                <w:kern w:val="0"/>
                <w:sz w:val="21"/>
                <w:szCs w:val="21"/>
                <w:lang w:val="en-US" w:eastAsia="zh-CN"/>
              </w:rPr>
              <w:t>hm</w:t>
            </w:r>
            <w:r>
              <w:rPr>
                <w:rFonts w:hint="default" w:ascii="Times New Roman" w:hAnsi="Times New Roman" w:eastAsia="仿宋_GB2312" w:cs="Times New Roman"/>
                <w:b w:val="0"/>
                <w:bCs w:val="0"/>
                <w:kern w:val="0"/>
                <w:sz w:val="21"/>
                <w:szCs w:val="21"/>
                <w:vertAlign w:val="superscript"/>
                <w:lang w:val="en-US" w:eastAsia="zh-CN"/>
              </w:rPr>
              <w:t>2</w:t>
            </w:r>
            <w:r>
              <w:rPr>
                <w:rFonts w:hint="default" w:ascii="Times New Roman" w:hAnsi="Times New Roman" w:eastAsia="仿宋_GB2312" w:cs="Times New Roman"/>
                <w:b w:val="0"/>
                <w:bCs w:val="0"/>
                <w:kern w:val="0"/>
                <w:sz w:val="21"/>
                <w:szCs w:val="21"/>
                <w:lang w:val="en-US" w:eastAsia="zh-CN"/>
              </w:rPr>
              <w:t>，堆土</w:t>
            </w:r>
            <w:r>
              <w:rPr>
                <w:rFonts w:hint="eastAsia" w:ascii="Times New Roman" w:hAnsi="Times New Roman" w:cs="Times New Roman"/>
                <w:b w:val="0"/>
                <w:bCs w:val="0"/>
                <w:kern w:val="0"/>
                <w:sz w:val="21"/>
                <w:szCs w:val="21"/>
                <w:lang w:val="en-US" w:eastAsia="zh-CN"/>
              </w:rPr>
              <w:t>临时</w:t>
            </w:r>
            <w:r>
              <w:rPr>
                <w:rFonts w:hint="default" w:ascii="Times New Roman" w:hAnsi="Times New Roman" w:eastAsia="仿宋_GB2312" w:cs="Times New Roman"/>
                <w:b w:val="0"/>
                <w:bCs w:val="0"/>
                <w:kern w:val="0"/>
                <w:sz w:val="21"/>
                <w:szCs w:val="21"/>
                <w:lang w:val="en-US" w:eastAsia="zh-CN"/>
              </w:rPr>
              <w:t>置于场地</w:t>
            </w:r>
            <w:r>
              <w:rPr>
                <w:rFonts w:hint="eastAsia" w:ascii="Times New Roman" w:hAnsi="Times New Roman" w:eastAsia="仿宋_GB2312" w:cs="Times New Roman"/>
                <w:b w:val="0"/>
                <w:bCs w:val="0"/>
                <w:kern w:val="0"/>
                <w:sz w:val="21"/>
                <w:szCs w:val="21"/>
                <w:lang w:val="en-US" w:eastAsia="zh-CN"/>
              </w:rPr>
              <w:t>一</w:t>
            </w:r>
            <w:r>
              <w:rPr>
                <w:rFonts w:hint="default" w:ascii="Times New Roman" w:hAnsi="Times New Roman" w:eastAsia="仿宋_GB2312" w:cs="Times New Roman"/>
                <w:b w:val="0"/>
                <w:bCs w:val="0"/>
                <w:kern w:val="0"/>
                <w:sz w:val="21"/>
                <w:szCs w:val="21"/>
                <w:lang w:val="en-US" w:eastAsia="zh-CN"/>
              </w:rPr>
              <w:t>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065" w:type="pct"/>
            <w:vAlign w:val="center"/>
          </w:tcPr>
          <w:p>
            <w:pPr>
              <w:widowControl/>
              <w:spacing w:line="240" w:lineRule="auto"/>
              <w:ind w:firstLine="0" w:firstLineChars="0"/>
              <w:jc w:val="center"/>
              <w:rPr>
                <w:rFonts w:cs="Times New Roman"/>
                <w:sz w:val="21"/>
                <w:szCs w:val="21"/>
              </w:rPr>
            </w:pPr>
            <w:r>
              <w:rPr>
                <w:rFonts w:hint="eastAsia" w:cs="Times New Roman"/>
                <w:sz w:val="21"/>
                <w:szCs w:val="21"/>
                <w:lang w:val="en-US" w:eastAsia="zh-CN"/>
              </w:rPr>
              <w:t>施工道路</w:t>
            </w:r>
            <w:r>
              <w:rPr>
                <w:rFonts w:cs="Times New Roman"/>
                <w:sz w:val="21"/>
                <w:szCs w:val="21"/>
              </w:rPr>
              <w:t>区</w:t>
            </w:r>
          </w:p>
        </w:tc>
        <w:tc>
          <w:tcPr>
            <w:tcW w:w="906" w:type="pct"/>
            <w:vAlign w:val="center"/>
          </w:tcPr>
          <w:p>
            <w:pPr>
              <w:spacing w:line="240" w:lineRule="auto"/>
              <w:ind w:firstLine="0" w:firstLineChars="0"/>
              <w:jc w:val="center"/>
              <w:rPr>
                <w:rFonts w:hint="default" w:cs="Times New Roman"/>
                <w:b w:val="0"/>
                <w:bCs/>
                <w:sz w:val="21"/>
                <w:szCs w:val="21"/>
                <w:lang w:val="en-US" w:eastAsia="zh-CN"/>
              </w:rPr>
            </w:pPr>
            <w:r>
              <w:rPr>
                <w:rFonts w:hint="eastAsia" w:cs="Times New Roman"/>
                <w:b w:val="0"/>
                <w:bCs/>
                <w:sz w:val="21"/>
                <w:szCs w:val="21"/>
                <w:lang w:val="en-US" w:eastAsia="zh-CN"/>
              </w:rPr>
              <w:t>0.28</w:t>
            </w:r>
          </w:p>
        </w:tc>
        <w:tc>
          <w:tcPr>
            <w:tcW w:w="3028" w:type="pct"/>
            <w:vAlign w:val="center"/>
          </w:tcPr>
          <w:p>
            <w:pPr>
              <w:widowControl/>
              <w:bidi/>
              <w:spacing w:line="240" w:lineRule="auto"/>
              <w:ind w:firstLine="0" w:firstLineChars="0"/>
              <w:jc w:val="center"/>
              <w:rPr>
                <w:rFonts w:hint="default" w:ascii="Times New Roman" w:hAnsi="Times New Roman" w:eastAsia="仿宋_GB2312" w:cs="Times New Roman"/>
                <w:b w:val="0"/>
                <w:bCs w:val="0"/>
                <w:kern w:val="0"/>
                <w:sz w:val="21"/>
                <w:szCs w:val="21"/>
                <w:lang w:val="en-US" w:eastAsia="zh-CN"/>
              </w:rPr>
            </w:pPr>
            <w:r>
              <w:rPr>
                <w:rFonts w:hint="eastAsia" w:ascii="Times New Roman" w:hAnsi="Times New Roman" w:cs="Times New Roman"/>
                <w:b w:val="0"/>
                <w:bCs w:val="0"/>
                <w:kern w:val="0"/>
                <w:sz w:val="21"/>
                <w:szCs w:val="21"/>
                <w:lang w:val="en-US" w:eastAsia="zh-CN"/>
              </w:rPr>
              <w:t>新建临时</w:t>
            </w:r>
            <w:r>
              <w:rPr>
                <w:rFonts w:ascii="Times New Roman" w:hAnsi="Times New Roman" w:eastAsia="仿宋_GB2312" w:cs="Times New Roman"/>
                <w:b w:val="0"/>
                <w:bCs w:val="0"/>
                <w:kern w:val="0"/>
                <w:sz w:val="21"/>
                <w:szCs w:val="21"/>
                <w:lang w:val="en-US" w:eastAsia="zh-CN"/>
              </w:rPr>
              <w:t>施工道路，累计长1</w:t>
            </w:r>
            <w:r>
              <w:rPr>
                <w:rFonts w:hint="eastAsia" w:ascii="Times New Roman" w:hAnsi="Times New Roman" w:cs="Times New Roman"/>
                <w:b w:val="0"/>
                <w:bCs w:val="0"/>
                <w:kern w:val="0"/>
                <w:sz w:val="21"/>
                <w:szCs w:val="21"/>
                <w:lang w:val="en-US" w:eastAsia="zh-CN"/>
              </w:rPr>
              <w:t>400</w:t>
            </w:r>
            <w:r>
              <w:rPr>
                <w:rFonts w:ascii="Times New Roman" w:hAnsi="Times New Roman" w:eastAsia="仿宋_GB2312" w:cs="Times New Roman"/>
                <w:b w:val="0"/>
                <w:bCs w:val="0"/>
                <w:kern w:val="0"/>
                <w:sz w:val="21"/>
                <w:szCs w:val="21"/>
                <w:lang w:val="en-US" w:eastAsia="zh-CN"/>
              </w:rPr>
              <w:t>m，宽</w:t>
            </w:r>
            <w:r>
              <w:rPr>
                <w:rFonts w:hint="eastAsia" w:ascii="Times New Roman" w:hAnsi="Times New Roman" w:cs="Times New Roman"/>
                <w:b w:val="0"/>
                <w:bCs w:val="0"/>
                <w:kern w:val="0"/>
                <w:sz w:val="21"/>
                <w:szCs w:val="21"/>
                <w:lang w:val="en-US" w:eastAsia="zh-CN"/>
              </w:rPr>
              <w:t>2</w:t>
            </w:r>
            <w:r>
              <w:rPr>
                <w:rFonts w:ascii="Times New Roman" w:hAnsi="Times New Roman" w:eastAsia="仿宋_GB2312" w:cs="Times New Roman"/>
                <w:b w:val="0"/>
                <w:bCs w:val="0"/>
                <w:kern w:val="0"/>
                <w:sz w:val="21"/>
                <w:szCs w:val="21"/>
                <w:lang w:val="en-US" w:eastAsia="zh-CN"/>
              </w:rPr>
              <w:t>m</w:t>
            </w:r>
            <w:r>
              <w:rPr>
                <w:rFonts w:hint="default" w:ascii="Times New Roman" w:hAnsi="Times New Roman" w:eastAsia="仿宋_GB2312" w:cs="Times New Roman"/>
                <w:b w:val="0"/>
                <w:bCs w:val="0"/>
                <w:kern w:val="0"/>
                <w:sz w:val="21"/>
                <w:szCs w:val="21"/>
                <w:lang w:val="en-US" w:eastAsia="zh-CN"/>
              </w:rPr>
              <w:t>，</w:t>
            </w:r>
          </w:p>
          <w:p>
            <w:pPr>
              <w:widowControl/>
              <w:spacing w:line="240" w:lineRule="auto"/>
              <w:ind w:firstLine="0" w:firstLineChars="0"/>
              <w:jc w:val="center"/>
              <w:rPr>
                <w:rFonts w:cs="Times New Roman"/>
                <w:sz w:val="21"/>
                <w:szCs w:val="21"/>
              </w:rPr>
            </w:pPr>
            <w:r>
              <w:rPr>
                <w:rFonts w:ascii="Times New Roman" w:hAnsi="Times New Roman" w:eastAsia="仿宋_GB2312" w:cs="Times New Roman"/>
                <w:b w:val="0"/>
                <w:bCs w:val="0"/>
                <w:kern w:val="0"/>
                <w:sz w:val="21"/>
                <w:szCs w:val="21"/>
                <w:lang w:val="en-US" w:eastAsia="zh-CN"/>
              </w:rPr>
              <w:t>总占地面积0.</w:t>
            </w:r>
            <w:r>
              <w:rPr>
                <w:rFonts w:hint="eastAsia" w:ascii="Times New Roman" w:hAnsi="Times New Roman" w:cs="Times New Roman"/>
                <w:b w:val="0"/>
                <w:bCs w:val="0"/>
                <w:kern w:val="0"/>
                <w:sz w:val="21"/>
                <w:szCs w:val="21"/>
                <w:lang w:val="en-US" w:eastAsia="zh-CN"/>
              </w:rPr>
              <w:t>28</w:t>
            </w:r>
            <w:r>
              <w:rPr>
                <w:rFonts w:ascii="Times New Roman" w:hAnsi="Times New Roman" w:eastAsia="仿宋_GB2312" w:cs="Times New Roman"/>
                <w:b w:val="0"/>
                <w:bCs w:val="0"/>
                <w:kern w:val="0"/>
                <w:sz w:val="21"/>
                <w:szCs w:val="21"/>
                <w:lang w:val="en-US" w:eastAsia="zh-CN"/>
              </w:rPr>
              <w:t>hm</w:t>
            </w:r>
            <w:r>
              <w:rPr>
                <w:rFonts w:ascii="Times New Roman" w:hAnsi="Times New Roman" w:eastAsia="仿宋_GB2312" w:cs="Times New Roman"/>
                <w:b w:val="0"/>
                <w:bCs w:val="0"/>
                <w:kern w:val="0"/>
                <w:sz w:val="21"/>
                <w:szCs w:val="21"/>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5" w:type="pct"/>
            <w:vAlign w:val="center"/>
          </w:tcPr>
          <w:p>
            <w:pPr>
              <w:widowControl/>
              <w:spacing w:line="240" w:lineRule="auto"/>
              <w:ind w:firstLine="0" w:firstLineChars="0"/>
              <w:jc w:val="center"/>
              <w:rPr>
                <w:rFonts w:cs="Times New Roman"/>
                <w:sz w:val="21"/>
                <w:szCs w:val="21"/>
              </w:rPr>
            </w:pPr>
            <w:r>
              <w:rPr>
                <w:rFonts w:hint="eastAsia" w:cs="Times New Roman"/>
                <w:sz w:val="21"/>
                <w:szCs w:val="21"/>
                <w:lang w:val="en-US" w:eastAsia="zh-CN"/>
              </w:rPr>
              <w:t>牵张场</w:t>
            </w:r>
            <w:r>
              <w:rPr>
                <w:rFonts w:cs="Times New Roman"/>
                <w:sz w:val="21"/>
                <w:szCs w:val="21"/>
              </w:rPr>
              <w:t>区</w:t>
            </w:r>
          </w:p>
        </w:tc>
        <w:tc>
          <w:tcPr>
            <w:tcW w:w="906" w:type="pct"/>
            <w:vAlign w:val="center"/>
          </w:tcPr>
          <w:p>
            <w:pPr>
              <w:spacing w:line="240" w:lineRule="auto"/>
              <w:ind w:firstLine="0" w:firstLineChars="0"/>
              <w:jc w:val="center"/>
              <w:rPr>
                <w:rFonts w:hint="default" w:cs="Times New Roman"/>
                <w:b w:val="0"/>
                <w:bCs/>
                <w:sz w:val="21"/>
                <w:szCs w:val="21"/>
                <w:lang w:val="en-US" w:eastAsia="zh-CN"/>
              </w:rPr>
            </w:pPr>
            <w:r>
              <w:rPr>
                <w:rFonts w:hint="eastAsia" w:cs="Times New Roman"/>
                <w:b w:val="0"/>
                <w:bCs/>
                <w:sz w:val="21"/>
                <w:szCs w:val="21"/>
                <w:lang w:val="en-US" w:eastAsia="zh-CN"/>
              </w:rPr>
              <w:t>0.75</w:t>
            </w:r>
          </w:p>
        </w:tc>
        <w:tc>
          <w:tcPr>
            <w:tcW w:w="3028" w:type="pct"/>
            <w:vAlign w:val="center"/>
          </w:tcPr>
          <w:p>
            <w:pPr>
              <w:widowControl/>
              <w:spacing w:line="240" w:lineRule="auto"/>
              <w:ind w:firstLine="0" w:firstLineChars="0"/>
              <w:jc w:val="center"/>
              <w:rPr>
                <w:rFonts w:cs="Times New Roman"/>
                <w:sz w:val="21"/>
                <w:szCs w:val="21"/>
              </w:rPr>
            </w:pPr>
            <w:r>
              <w:rPr>
                <w:rFonts w:hint="eastAsia" w:ascii="Times New Roman" w:hAnsi="Times New Roman" w:cs="Times New Roman"/>
                <w:b w:val="0"/>
                <w:bCs w:val="0"/>
                <w:kern w:val="0"/>
                <w:sz w:val="21"/>
                <w:szCs w:val="21"/>
                <w:lang w:val="en-US" w:eastAsia="zh-CN"/>
              </w:rPr>
              <w:t>3个牵张场，单个牵张场占地0.25hm</w:t>
            </w:r>
            <w:r>
              <w:rPr>
                <w:rFonts w:hint="eastAsia" w:ascii="Times New Roman" w:hAnsi="Times New Roman" w:cs="Times New Roman"/>
                <w:b w:val="0"/>
                <w:bCs w:val="0"/>
                <w:kern w:val="0"/>
                <w:sz w:val="21"/>
                <w:szCs w:val="21"/>
                <w:vertAlign w:val="superscript"/>
                <w:lang w:val="en-US" w:eastAsia="zh-CN"/>
              </w:rPr>
              <w:t>2</w:t>
            </w:r>
            <w:r>
              <w:rPr>
                <w:rFonts w:hint="eastAsia" w:ascii="Times New Roman" w:hAnsi="Times New Roman" w:eastAsia="仿宋_GB2312" w:cs="Times New Roman"/>
                <w:b w:val="0"/>
                <w:bCs w:val="0"/>
                <w:kern w:val="0"/>
                <w:sz w:val="21"/>
                <w:szCs w:val="21"/>
                <w:lang w:val="en-US" w:eastAsia="zh-CN"/>
              </w:rPr>
              <w:t>（</w:t>
            </w:r>
            <w:r>
              <w:rPr>
                <w:rFonts w:hint="eastAsia" w:ascii="Times New Roman" w:hAnsi="Times New Roman" w:cs="Times New Roman"/>
                <w:b w:val="0"/>
                <w:bCs w:val="0"/>
                <w:kern w:val="0"/>
                <w:sz w:val="21"/>
                <w:szCs w:val="21"/>
                <w:lang w:val="en-US" w:eastAsia="zh-CN"/>
              </w:rPr>
              <w:t>50</w:t>
            </w:r>
            <w:r>
              <w:rPr>
                <w:rFonts w:hint="eastAsia" w:ascii="Times New Roman" w:hAnsi="Times New Roman" w:eastAsia="仿宋_GB2312" w:cs="Times New Roman"/>
                <w:b w:val="0"/>
                <w:bCs w:val="0"/>
                <w:kern w:val="0"/>
                <w:sz w:val="21"/>
                <w:szCs w:val="21"/>
                <w:lang w:val="en-US" w:eastAsia="zh-CN"/>
              </w:rPr>
              <w:t>m*</w:t>
            </w:r>
            <w:r>
              <w:rPr>
                <w:rFonts w:hint="eastAsia" w:ascii="Times New Roman" w:hAnsi="Times New Roman" w:cs="Times New Roman"/>
                <w:b w:val="0"/>
                <w:bCs w:val="0"/>
                <w:kern w:val="0"/>
                <w:sz w:val="21"/>
                <w:szCs w:val="21"/>
                <w:lang w:val="en-US" w:eastAsia="zh-CN"/>
              </w:rPr>
              <w:t>50</w:t>
            </w:r>
            <w:r>
              <w:rPr>
                <w:rFonts w:hint="eastAsia" w:ascii="Times New Roman" w:hAnsi="Times New Roman" w:eastAsia="仿宋_GB2312" w:cs="Times New Roman"/>
                <w:b w:val="0"/>
                <w:bCs w:val="0"/>
                <w:kern w:val="0"/>
                <w:sz w:val="21"/>
                <w:szCs w:val="21"/>
                <w:lang w:val="en-US" w:eastAsia="zh-CN"/>
              </w:rPr>
              <w:t>m）</w:t>
            </w:r>
            <w:r>
              <w:rPr>
                <w:rFonts w:hint="eastAsia" w:ascii="Times New Roman" w:hAnsi="Times New Roman" w:cs="Times New Roman"/>
                <w:b w:val="0"/>
                <w:bCs w:val="0"/>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065" w:type="pct"/>
            <w:vAlign w:val="center"/>
          </w:tcPr>
          <w:p>
            <w:pPr>
              <w:widowControl/>
              <w:spacing w:line="240" w:lineRule="auto"/>
              <w:ind w:firstLine="0" w:firstLineChars="0"/>
              <w:jc w:val="center"/>
              <w:rPr>
                <w:rFonts w:cs="Times New Roman"/>
                <w:b/>
                <w:bCs/>
                <w:kern w:val="0"/>
                <w:sz w:val="21"/>
                <w:szCs w:val="21"/>
              </w:rPr>
            </w:pPr>
            <w:r>
              <w:rPr>
                <w:rFonts w:cs="Times New Roman"/>
                <w:b/>
                <w:bCs/>
                <w:kern w:val="0"/>
                <w:sz w:val="21"/>
                <w:szCs w:val="21"/>
              </w:rPr>
              <w:t>合计</w:t>
            </w:r>
          </w:p>
        </w:tc>
        <w:tc>
          <w:tcPr>
            <w:tcW w:w="906" w:type="pct"/>
            <w:vAlign w:val="center"/>
          </w:tcPr>
          <w:p>
            <w:pPr>
              <w:spacing w:line="240" w:lineRule="auto"/>
              <w:ind w:firstLine="0" w:firstLineChars="0"/>
              <w:jc w:val="center"/>
              <w:rPr>
                <w:rFonts w:cs="Times New Roman"/>
                <w:b/>
                <w:bCs/>
                <w:sz w:val="21"/>
                <w:szCs w:val="21"/>
              </w:rPr>
            </w:pPr>
            <w:r>
              <w:rPr>
                <w:rFonts w:cs="Times New Roman"/>
                <w:b/>
                <w:bCs/>
                <w:sz w:val="21"/>
                <w:szCs w:val="21"/>
              </w:rPr>
              <w:fldChar w:fldCharType="begin"/>
            </w:r>
            <w:r>
              <w:rPr>
                <w:rFonts w:cs="Times New Roman"/>
                <w:b/>
                <w:bCs/>
                <w:sz w:val="21"/>
                <w:szCs w:val="21"/>
              </w:rPr>
              <w:instrText xml:space="preserve"> = sum(B2:B4) \* MERGEFORMAT </w:instrText>
            </w:r>
            <w:r>
              <w:rPr>
                <w:rFonts w:cs="Times New Roman"/>
                <w:b/>
                <w:bCs/>
                <w:sz w:val="21"/>
                <w:szCs w:val="21"/>
              </w:rPr>
              <w:fldChar w:fldCharType="separate"/>
            </w:r>
            <w:r>
              <w:rPr>
                <w:rFonts w:cs="Times New Roman"/>
                <w:b/>
                <w:bCs/>
                <w:sz w:val="21"/>
                <w:szCs w:val="21"/>
              </w:rPr>
              <w:t>2.88</w:t>
            </w:r>
            <w:r>
              <w:rPr>
                <w:rFonts w:cs="Times New Roman"/>
                <w:b/>
                <w:bCs/>
                <w:sz w:val="21"/>
                <w:szCs w:val="21"/>
              </w:rPr>
              <w:fldChar w:fldCharType="end"/>
            </w:r>
          </w:p>
        </w:tc>
        <w:tc>
          <w:tcPr>
            <w:tcW w:w="3028" w:type="pct"/>
            <w:vAlign w:val="center"/>
          </w:tcPr>
          <w:p>
            <w:pPr>
              <w:widowControl/>
              <w:spacing w:line="240" w:lineRule="auto"/>
              <w:ind w:firstLine="0" w:firstLineChars="0"/>
              <w:jc w:val="center"/>
              <w:rPr>
                <w:rFonts w:cs="Times New Roman"/>
                <w:sz w:val="21"/>
                <w:szCs w:val="21"/>
              </w:rPr>
            </w:pPr>
          </w:p>
        </w:tc>
      </w:tr>
    </w:tbl>
    <w:p>
      <w:pPr>
        <w:keepNext/>
        <w:keepLines/>
        <w:widowControl w:val="0"/>
        <w:spacing w:line="360" w:lineRule="auto"/>
        <w:ind w:firstLine="0" w:firstLineChars="0"/>
        <w:jc w:val="both"/>
        <w:outlineLvl w:val="1"/>
        <w:rPr>
          <w:rFonts w:hint="default" w:ascii="Times New Roman" w:hAnsi="Times New Roman" w:eastAsia="仿宋_GB2312" w:cs="Times New Roman"/>
          <w:b/>
          <w:bCs/>
          <w:kern w:val="2"/>
          <w:sz w:val="28"/>
          <w:szCs w:val="32"/>
          <w:lang w:val="en-US" w:eastAsia="zh-CN" w:bidi="ar-SA"/>
        </w:rPr>
      </w:pPr>
      <w:bookmarkStart w:id="59" w:name="_Toc50731629"/>
      <w:r>
        <w:rPr>
          <w:rFonts w:hint="eastAsia" w:cs="Times New Roman"/>
          <w:b/>
          <w:bCs/>
          <w:kern w:val="2"/>
          <w:sz w:val="28"/>
          <w:szCs w:val="32"/>
          <w:lang w:val="en-US" w:eastAsia="zh-CN" w:bidi="ar-SA"/>
        </w:rPr>
        <w:t>9</w:t>
      </w:r>
      <w:r>
        <w:rPr>
          <w:rFonts w:ascii="Times New Roman" w:hAnsi="Times New Roman" w:eastAsia="仿宋_GB2312" w:cs="Times New Roman"/>
          <w:b/>
          <w:bCs/>
          <w:kern w:val="2"/>
          <w:sz w:val="28"/>
          <w:szCs w:val="32"/>
          <w:lang w:val="en-US" w:eastAsia="zh-CN" w:bidi="ar-SA"/>
        </w:rPr>
        <w:t xml:space="preserve">.2 </w:t>
      </w:r>
      <w:bookmarkEnd w:id="59"/>
      <w:r>
        <w:rPr>
          <w:rFonts w:hint="eastAsia" w:cs="Times New Roman"/>
          <w:b/>
          <w:bCs/>
          <w:kern w:val="2"/>
          <w:sz w:val="28"/>
          <w:szCs w:val="32"/>
          <w:lang w:val="en-US" w:eastAsia="zh-CN" w:bidi="ar-SA"/>
        </w:rPr>
        <w:t>分区措施布设</w:t>
      </w:r>
    </w:p>
    <w:p>
      <w:pPr>
        <w:numPr>
          <w:ilvl w:val="0"/>
          <w:numId w:val="0"/>
        </w:numPr>
        <w:ind w:firstLine="480" w:firstLineChars="200"/>
        <w:rPr>
          <w:rFonts w:hint="eastAsia" w:cs="Times New Roman"/>
          <w:lang w:val="en-US" w:eastAsia="zh-CN"/>
        </w:rPr>
      </w:pPr>
      <w:bookmarkStart w:id="60" w:name="_Toc50731630"/>
      <w:r>
        <w:rPr>
          <w:rFonts w:hint="eastAsia" w:cs="Times New Roman"/>
          <w:lang w:val="en-US" w:eastAsia="zh-CN"/>
        </w:rPr>
        <w:t>（1）集电线路区</w:t>
      </w:r>
    </w:p>
    <w:p>
      <w:pPr>
        <w:adjustRightInd w:val="0"/>
        <w:snapToGrid w:val="0"/>
        <w:spacing w:line="360" w:lineRule="auto"/>
        <w:ind w:firstLine="480" w:firstLineChars="200"/>
        <w:rPr>
          <w:rFonts w:hint="eastAsia" w:ascii="Times New Roman" w:hAnsi="Times New Roman" w:eastAsia="仿宋_GB2312" w:cs="Times New Roman"/>
          <w:sz w:val="24"/>
          <w:szCs w:val="22"/>
        </w:rPr>
      </w:pPr>
      <w:r>
        <w:rPr>
          <w:rFonts w:hint="eastAsia" w:cs="Times New Roman"/>
          <w:lang w:val="en-US" w:eastAsia="zh-CN"/>
        </w:rPr>
        <w:t>工程措施：</w:t>
      </w:r>
      <w:r>
        <w:rPr>
          <w:rFonts w:hint="eastAsia"/>
          <w:lang w:val="en-US" w:eastAsia="zh-CN"/>
        </w:rPr>
        <w:t>土地整治：</w:t>
      </w:r>
      <w:r>
        <w:rPr>
          <w:rFonts w:hint="eastAsia" w:ascii="Times New Roman" w:hAnsi="Times New Roman" w:eastAsia="仿宋_GB2312" w:cs="Times New Roman"/>
          <w:sz w:val="24"/>
          <w:szCs w:val="22"/>
        </w:rPr>
        <w:t>对集电线路</w:t>
      </w:r>
      <w:r>
        <w:rPr>
          <w:rFonts w:hint="eastAsia" w:ascii="Times New Roman" w:hAnsi="Times New Roman" w:cs="Times New Roman"/>
          <w:sz w:val="24"/>
          <w:szCs w:val="22"/>
          <w:lang w:val="en-US" w:eastAsia="zh-CN"/>
        </w:rPr>
        <w:t>架空区域除塔基硬化外占地</w:t>
      </w:r>
      <w:r>
        <w:rPr>
          <w:rFonts w:hint="eastAsia" w:ascii="Times New Roman" w:hAnsi="Times New Roman" w:eastAsia="仿宋_GB2312" w:cs="Times New Roman"/>
          <w:sz w:val="24"/>
          <w:szCs w:val="22"/>
        </w:rPr>
        <w:t>进行土地整治，以满足复耕要求。土地整治面积</w:t>
      </w:r>
      <w:r>
        <w:rPr>
          <w:rFonts w:hint="eastAsia" w:ascii="Times New Roman" w:hAnsi="Times New Roman" w:cs="Times New Roman"/>
          <w:sz w:val="24"/>
          <w:szCs w:val="22"/>
          <w:lang w:val="en-US" w:eastAsia="zh-CN"/>
        </w:rPr>
        <w:t>1.80</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r>
        <w:rPr>
          <w:rFonts w:hint="eastAsia" w:ascii="Times New Roman" w:hAnsi="Times New Roman" w:eastAsia="仿宋_GB2312" w:cs="Times New Roman"/>
          <w:sz w:val="24"/>
          <w:szCs w:val="22"/>
        </w:rPr>
        <w:t>；</w:t>
      </w:r>
    </w:p>
    <w:p>
      <w:pPr>
        <w:pStyle w:val="9"/>
        <w:rPr>
          <w:rFonts w:hint="default" w:eastAsia="仿宋_GB2312"/>
          <w:color w:val="auto"/>
          <w:lang w:val="en-US" w:eastAsia="zh-CN"/>
        </w:rPr>
      </w:pPr>
      <w:r>
        <w:rPr>
          <w:rFonts w:hint="eastAsia" w:ascii="Times New Roman" w:hAnsi="Times New Roman" w:cs="Times New Roman"/>
          <w:color w:val="auto"/>
          <w:sz w:val="24"/>
          <w:szCs w:val="22"/>
          <w:lang w:val="en-US" w:eastAsia="zh-CN"/>
        </w:rPr>
        <w:t>植物措施：播撒草籽：对角钢塔下方占地播撒草籽，占地0.09</w:t>
      </w:r>
      <w:r>
        <w:rPr>
          <w:rFonts w:hint="eastAsia" w:ascii="Times New Roman" w:hAnsi="Times New Roman" w:eastAsia="仿宋_GB2312" w:cs="Times New Roman"/>
          <w:color w:val="auto"/>
          <w:sz w:val="24"/>
          <w:szCs w:val="22"/>
        </w:rPr>
        <w:t>hm</w:t>
      </w:r>
      <w:r>
        <w:rPr>
          <w:rFonts w:ascii="Times New Roman" w:hAnsi="Times New Roman" w:eastAsia="仿宋_GB2312" w:cs="Times New Roman"/>
          <w:color w:val="auto"/>
          <w:sz w:val="24"/>
          <w:szCs w:val="22"/>
        </w:rPr>
        <w:t>²</w:t>
      </w:r>
    </w:p>
    <w:p>
      <w:pPr>
        <w:pStyle w:val="6"/>
        <w:ind w:left="0" w:leftChars="0" w:firstLine="480" w:firstLineChars="200"/>
        <w:rPr>
          <w:rFonts w:hint="eastAsia" w:eastAsia="仿宋_GB2312"/>
          <w:lang w:val="en-US" w:eastAsia="zh-CN"/>
        </w:rPr>
      </w:pPr>
      <w:r>
        <w:rPr>
          <w:rFonts w:hint="eastAsia"/>
          <w:lang w:val="en-US" w:eastAsia="zh-CN"/>
        </w:rPr>
        <w:t>临时措施：临时苫盖：对塔基开挖堆土及直埋电缆开挖堆土进行苫盖，彩布条苫盖面积0.05</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r>
        <w:rPr>
          <w:rFonts w:hint="eastAsia" w:ascii="Times New Roman" w:hAnsi="Times New Roman" w:cs="Times New Roman"/>
          <w:sz w:val="24"/>
          <w:szCs w:val="22"/>
          <w:lang w:eastAsia="zh-CN"/>
        </w:rPr>
        <w:t>；</w:t>
      </w:r>
    </w:p>
    <w:p>
      <w:pPr>
        <w:pStyle w:val="6"/>
        <w:numPr>
          <w:ilvl w:val="0"/>
          <w:numId w:val="6"/>
        </w:numPr>
        <w:rPr>
          <w:rFonts w:hint="default"/>
          <w:lang w:val="en-US" w:eastAsia="zh-CN"/>
        </w:rPr>
      </w:pPr>
      <w:r>
        <w:rPr>
          <w:rFonts w:hint="eastAsia"/>
          <w:lang w:val="en-US" w:eastAsia="zh-CN"/>
        </w:rPr>
        <w:t>施工道路区</w:t>
      </w:r>
    </w:p>
    <w:p>
      <w:pPr>
        <w:adjustRightInd w:val="0"/>
        <w:snapToGrid w:val="0"/>
        <w:spacing w:line="360" w:lineRule="auto"/>
        <w:ind w:firstLine="480" w:firstLineChars="200"/>
        <w:rPr>
          <w:rFonts w:hint="eastAsia"/>
          <w:lang w:val="en-US" w:eastAsia="zh-CN"/>
        </w:rPr>
      </w:pPr>
      <w:r>
        <w:rPr>
          <w:rFonts w:hint="eastAsia"/>
          <w:lang w:val="en-US" w:eastAsia="zh-CN"/>
        </w:rPr>
        <w:t>工程措施：</w:t>
      </w:r>
    </w:p>
    <w:p>
      <w:pPr>
        <w:adjustRightInd w:val="0"/>
        <w:snapToGrid w:val="0"/>
        <w:spacing w:line="360" w:lineRule="auto"/>
        <w:ind w:firstLine="480" w:firstLineChars="200"/>
        <w:rPr>
          <w:rFonts w:hint="eastAsia"/>
          <w:lang w:val="en-US" w:eastAsia="zh-CN"/>
        </w:rPr>
      </w:pPr>
      <w:r>
        <w:rPr>
          <w:rFonts w:hint="eastAsia"/>
          <w:lang w:val="en-US" w:eastAsia="zh-CN"/>
        </w:rPr>
        <w:t>土地整治：</w:t>
      </w:r>
      <w:r>
        <w:rPr>
          <w:rFonts w:hint="eastAsia" w:ascii="Times New Roman" w:hAnsi="Times New Roman" w:eastAsia="仿宋_GB2312" w:cs="Times New Roman"/>
          <w:sz w:val="24"/>
          <w:szCs w:val="22"/>
        </w:rPr>
        <w:t>对</w:t>
      </w:r>
      <w:r>
        <w:rPr>
          <w:rFonts w:hint="eastAsia" w:ascii="Times New Roman" w:hAnsi="Times New Roman" w:cs="Times New Roman"/>
          <w:sz w:val="24"/>
          <w:szCs w:val="22"/>
          <w:lang w:val="en-US" w:eastAsia="zh-CN"/>
        </w:rPr>
        <w:t>施工道路</w:t>
      </w:r>
      <w:r>
        <w:rPr>
          <w:rFonts w:hint="eastAsia" w:ascii="Times New Roman" w:hAnsi="Times New Roman" w:eastAsia="仿宋_GB2312" w:cs="Times New Roman"/>
          <w:sz w:val="24"/>
          <w:szCs w:val="22"/>
        </w:rPr>
        <w:t>占地进行土地整治，以满足复耕要求。土地整治面积</w:t>
      </w:r>
      <w:r>
        <w:rPr>
          <w:rFonts w:hint="eastAsia" w:ascii="Times New Roman" w:hAnsi="Times New Roman" w:cs="Times New Roman"/>
          <w:sz w:val="24"/>
          <w:szCs w:val="22"/>
          <w:lang w:val="en-US" w:eastAsia="zh-CN"/>
        </w:rPr>
        <w:t>0.28</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r>
        <w:rPr>
          <w:rFonts w:hint="eastAsia" w:ascii="Times New Roman" w:hAnsi="Times New Roman" w:eastAsia="仿宋_GB2312" w:cs="Times New Roman"/>
          <w:sz w:val="24"/>
          <w:szCs w:val="22"/>
        </w:rPr>
        <w:t>；</w:t>
      </w:r>
    </w:p>
    <w:p>
      <w:pPr>
        <w:pStyle w:val="6"/>
        <w:numPr>
          <w:ilvl w:val="0"/>
          <w:numId w:val="6"/>
        </w:numPr>
        <w:rPr>
          <w:rFonts w:hint="default"/>
          <w:lang w:val="en-US" w:eastAsia="zh-CN"/>
        </w:rPr>
      </w:pPr>
      <w:r>
        <w:rPr>
          <w:rFonts w:hint="eastAsia"/>
          <w:lang w:val="en-US" w:eastAsia="zh-CN"/>
        </w:rPr>
        <w:t>牵张场区</w:t>
      </w:r>
    </w:p>
    <w:p>
      <w:pPr>
        <w:adjustRightInd w:val="0"/>
        <w:snapToGrid w:val="0"/>
        <w:spacing w:line="360" w:lineRule="auto"/>
        <w:ind w:firstLine="480" w:firstLineChars="200"/>
        <w:rPr>
          <w:rFonts w:hint="eastAsia" w:ascii="Times New Roman" w:hAnsi="Times New Roman" w:eastAsia="仿宋_GB2312" w:cs="Times New Roman"/>
          <w:sz w:val="24"/>
          <w:szCs w:val="22"/>
          <w:lang w:val="en-US" w:eastAsia="zh-CN"/>
        </w:rPr>
      </w:pPr>
      <w:r>
        <w:rPr>
          <w:rFonts w:hint="eastAsia"/>
          <w:lang w:val="en-US" w:eastAsia="zh-CN"/>
        </w:rPr>
        <w:t>工程措施：土地整治：</w:t>
      </w:r>
      <w:r>
        <w:rPr>
          <w:rFonts w:hint="eastAsia" w:ascii="Times New Roman" w:hAnsi="Times New Roman" w:eastAsia="仿宋_GB2312" w:cs="Times New Roman"/>
          <w:sz w:val="24"/>
          <w:szCs w:val="22"/>
        </w:rPr>
        <w:t>对</w:t>
      </w:r>
      <w:r>
        <w:rPr>
          <w:rFonts w:hint="eastAsia" w:ascii="Times New Roman" w:hAnsi="Times New Roman" w:cs="Times New Roman"/>
          <w:sz w:val="24"/>
          <w:szCs w:val="22"/>
          <w:lang w:val="en-US" w:eastAsia="zh-CN"/>
        </w:rPr>
        <w:t>牵张厂</w:t>
      </w:r>
      <w:r>
        <w:rPr>
          <w:rFonts w:hint="eastAsia" w:ascii="Times New Roman" w:hAnsi="Times New Roman" w:eastAsia="仿宋_GB2312" w:cs="Times New Roman"/>
          <w:sz w:val="24"/>
          <w:szCs w:val="22"/>
        </w:rPr>
        <w:t>占地进行土地整治，以满足复耕要求。土地整治面积</w:t>
      </w:r>
      <w:r>
        <w:rPr>
          <w:rFonts w:hint="eastAsia" w:ascii="Times New Roman" w:hAnsi="Times New Roman" w:cs="Times New Roman"/>
          <w:sz w:val="24"/>
          <w:szCs w:val="22"/>
          <w:lang w:val="en-US" w:eastAsia="zh-CN"/>
        </w:rPr>
        <w:t>0.75</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r>
        <w:rPr>
          <w:rFonts w:hint="eastAsia" w:ascii="Times New Roman" w:hAnsi="Times New Roman" w:eastAsia="仿宋_GB2312" w:cs="Times New Roman"/>
          <w:sz w:val="24"/>
          <w:szCs w:val="22"/>
        </w:rPr>
        <w:t>；</w:t>
      </w:r>
    </w:p>
    <w:p>
      <w:pPr>
        <w:pStyle w:val="6"/>
        <w:numPr>
          <w:ilvl w:val="0"/>
          <w:numId w:val="6"/>
        </w:numPr>
        <w:ind w:left="0" w:leftChars="0" w:firstLine="480" w:firstLineChars="200"/>
        <w:rPr>
          <w:rFonts w:hint="eastAsia" w:ascii="Times New Roman" w:hAnsi="Times New Roman" w:eastAsia="仿宋_GB2312" w:cs="Times New Roman"/>
          <w:b/>
          <w:bCs/>
          <w:kern w:val="28"/>
          <w:sz w:val="21"/>
          <w:szCs w:val="32"/>
          <w:lang w:val="en-US" w:eastAsia="zh-CN" w:bidi="ar-SA"/>
        </w:rPr>
      </w:pPr>
      <w:r>
        <w:rPr>
          <w:rFonts w:hint="eastAsia"/>
          <w:lang w:val="en-US" w:eastAsia="zh-CN"/>
        </w:rPr>
        <w:t>分区措施汇总</w:t>
      </w:r>
      <w:bookmarkEnd w:id="60"/>
    </w:p>
    <w:p>
      <w:pPr>
        <w:widowControl w:val="0"/>
        <w:spacing w:line="360" w:lineRule="auto"/>
        <w:ind w:firstLine="0" w:firstLineChars="0"/>
        <w:jc w:val="center"/>
        <w:rPr>
          <w:rFonts w:hint="eastAsia" w:ascii="Times New Roman" w:hAnsi="Times New Roman" w:eastAsia="仿宋_GB2312" w:cs="Times New Roman"/>
          <w:b/>
          <w:bCs/>
          <w:kern w:val="28"/>
          <w:sz w:val="21"/>
          <w:szCs w:val="32"/>
          <w:lang w:val="en-US" w:eastAsia="zh-CN" w:bidi="ar-SA"/>
        </w:rPr>
      </w:pPr>
      <w:r>
        <w:rPr>
          <w:rFonts w:hint="eastAsia" w:ascii="Times New Roman" w:hAnsi="Times New Roman" w:eastAsia="仿宋_GB2312" w:cs="Times New Roman"/>
          <w:b/>
          <w:bCs/>
          <w:kern w:val="28"/>
          <w:sz w:val="21"/>
          <w:szCs w:val="32"/>
          <w:lang w:val="en-US" w:eastAsia="zh-CN" w:bidi="ar-SA"/>
        </w:rPr>
        <w:t>表</w:t>
      </w:r>
      <w:r>
        <w:rPr>
          <w:rFonts w:hint="eastAsia" w:cs="Times New Roman"/>
          <w:b/>
          <w:bCs/>
          <w:kern w:val="28"/>
          <w:sz w:val="21"/>
          <w:szCs w:val="32"/>
          <w:lang w:val="en-US" w:eastAsia="zh-CN" w:bidi="ar-SA"/>
        </w:rPr>
        <w:t>8</w:t>
      </w:r>
      <w:r>
        <w:rPr>
          <w:rFonts w:hint="eastAsia" w:ascii="Times New Roman" w:hAnsi="Times New Roman" w:eastAsia="仿宋_GB2312" w:cs="Times New Roman"/>
          <w:b/>
          <w:bCs/>
          <w:kern w:val="28"/>
          <w:sz w:val="21"/>
          <w:szCs w:val="32"/>
          <w:lang w:val="en-US" w:eastAsia="zh-CN" w:bidi="ar-SA"/>
        </w:rPr>
        <w:t>-</w:t>
      </w:r>
      <w:r>
        <w:rPr>
          <w:rFonts w:ascii="Times New Roman" w:hAnsi="Times New Roman" w:eastAsia="仿宋_GB2312" w:cs="Times New Roman"/>
          <w:b/>
          <w:bCs/>
          <w:kern w:val="28"/>
          <w:sz w:val="21"/>
          <w:szCs w:val="32"/>
          <w:lang w:val="en-US" w:eastAsia="zh-CN" w:bidi="ar-SA"/>
        </w:rPr>
        <w:t xml:space="preserve">2 </w:t>
      </w:r>
      <w:r>
        <w:rPr>
          <w:rFonts w:hint="eastAsia" w:ascii="Times New Roman" w:hAnsi="Times New Roman" w:eastAsia="仿宋_GB2312" w:cs="Times New Roman"/>
          <w:b/>
          <w:bCs/>
          <w:kern w:val="28"/>
          <w:sz w:val="21"/>
          <w:szCs w:val="32"/>
          <w:lang w:val="en-US" w:eastAsia="zh-CN" w:bidi="ar-SA"/>
        </w:rPr>
        <w:t>水土流失防治措施体系表</w:t>
      </w:r>
    </w:p>
    <w:tbl>
      <w:tblPr>
        <w:tblStyle w:val="15"/>
        <w:tblW w:w="7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4"/>
        <w:gridCol w:w="1835"/>
        <w:gridCol w:w="2003"/>
        <w:gridCol w:w="2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664" w:type="dxa"/>
            <w:vMerge w:val="restart"/>
            <w:vAlign w:val="center"/>
          </w:tcPr>
          <w:p>
            <w:pPr>
              <w:widowControl/>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防治分区</w:t>
            </w:r>
          </w:p>
        </w:tc>
        <w:tc>
          <w:tcPr>
            <w:tcW w:w="6246" w:type="dxa"/>
            <w:gridSpan w:val="3"/>
            <w:vAlign w:val="center"/>
          </w:tcPr>
          <w:p>
            <w:pPr>
              <w:widowControl/>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水土保持措施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blHeader/>
          <w:jc w:val="center"/>
        </w:trPr>
        <w:tc>
          <w:tcPr>
            <w:tcW w:w="1664" w:type="dxa"/>
            <w:vMerge w:val="continue"/>
            <w:vAlign w:val="center"/>
          </w:tcPr>
          <w:p>
            <w:pPr>
              <w:ind w:firstLine="420"/>
              <w:jc w:val="center"/>
              <w:rPr>
                <w:rFonts w:ascii="Times New Roman" w:hAnsi="Times New Roman" w:cs="Times New Roman"/>
                <w:sz w:val="21"/>
                <w:szCs w:val="21"/>
              </w:rPr>
            </w:pPr>
          </w:p>
        </w:tc>
        <w:tc>
          <w:tcPr>
            <w:tcW w:w="1835" w:type="dxa"/>
            <w:vAlign w:val="center"/>
          </w:tcPr>
          <w:p>
            <w:pPr>
              <w:widowControl/>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工程措施</w:t>
            </w:r>
          </w:p>
        </w:tc>
        <w:tc>
          <w:tcPr>
            <w:tcW w:w="2003" w:type="dxa"/>
            <w:vAlign w:val="center"/>
          </w:tcPr>
          <w:p>
            <w:pPr>
              <w:widowControl/>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植物措施</w:t>
            </w:r>
          </w:p>
        </w:tc>
        <w:tc>
          <w:tcPr>
            <w:tcW w:w="2408" w:type="dxa"/>
            <w:vAlign w:val="center"/>
          </w:tcPr>
          <w:p>
            <w:pPr>
              <w:widowControl/>
              <w:ind w:firstLine="0" w:firstLineChars="0"/>
              <w:jc w:val="center"/>
              <w:rPr>
                <w:rFonts w:ascii="Times New Roman" w:hAnsi="Times New Roman" w:cs="Times New Roman"/>
                <w:kern w:val="0"/>
                <w:sz w:val="21"/>
                <w:szCs w:val="21"/>
              </w:rPr>
            </w:pPr>
            <w:r>
              <w:rPr>
                <w:rFonts w:ascii="Times New Roman" w:hAnsi="Times New Roman" w:cs="Times New Roman"/>
                <w:kern w:val="0"/>
                <w:sz w:val="21"/>
                <w:szCs w:val="21"/>
              </w:rPr>
              <w:t>临时措施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1664" w:type="dxa"/>
            <w:vAlign w:val="center"/>
          </w:tcPr>
          <w:p>
            <w:pPr>
              <w:widowControl/>
              <w:ind w:firstLine="0" w:firstLineChars="0"/>
              <w:jc w:val="center"/>
              <w:rPr>
                <w:rFonts w:hint="eastAsia" w:ascii="Times New Roman" w:hAnsi="Times New Roman" w:cs="Times New Roman"/>
                <w:kern w:val="0"/>
                <w:sz w:val="21"/>
                <w:szCs w:val="21"/>
              </w:rPr>
            </w:pPr>
            <w:r>
              <w:rPr>
                <w:rFonts w:hint="default" w:cs="Times New Roman"/>
                <w:kern w:val="0"/>
                <w:sz w:val="21"/>
                <w:szCs w:val="21"/>
              </w:rPr>
              <w:t>集电线路</w:t>
            </w:r>
            <w:r>
              <w:rPr>
                <w:rFonts w:hint="eastAsia" w:ascii="Times New Roman" w:hAnsi="Times New Roman" w:cs="Times New Roman"/>
                <w:kern w:val="0"/>
                <w:sz w:val="21"/>
                <w:szCs w:val="21"/>
              </w:rPr>
              <w:t>区</w:t>
            </w:r>
          </w:p>
        </w:tc>
        <w:tc>
          <w:tcPr>
            <w:tcW w:w="1835" w:type="dxa"/>
            <w:vAlign w:val="center"/>
          </w:tcPr>
          <w:p>
            <w:pPr>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土地整治1.80</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p>
        </w:tc>
        <w:tc>
          <w:tcPr>
            <w:tcW w:w="2003" w:type="dxa"/>
            <w:vAlign w:val="center"/>
          </w:tcPr>
          <w:p>
            <w:pPr>
              <w:ind w:left="0" w:leftChars="0" w:firstLine="0" w:firstLineChars="0"/>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播撒草籽0.09hm</w:t>
            </w:r>
            <w:r>
              <w:rPr>
                <w:rFonts w:hint="eastAsia" w:cs="Times New Roman"/>
                <w:kern w:val="0"/>
                <w:sz w:val="21"/>
                <w:szCs w:val="21"/>
                <w:vertAlign w:val="superscript"/>
                <w:lang w:val="en-US" w:eastAsia="zh-CN"/>
              </w:rPr>
              <w:t>2</w:t>
            </w:r>
          </w:p>
        </w:tc>
        <w:tc>
          <w:tcPr>
            <w:tcW w:w="2408" w:type="dxa"/>
            <w:vAlign w:val="center"/>
          </w:tcPr>
          <w:p>
            <w:pPr>
              <w:ind w:firstLine="0" w:firstLineChars="0"/>
              <w:jc w:val="center"/>
              <w:rPr>
                <w:rFonts w:hint="default"/>
                <w:lang w:val="en-US" w:eastAsia="zh-CN"/>
              </w:rPr>
            </w:pPr>
            <w:r>
              <w:rPr>
                <w:rFonts w:hint="eastAsia"/>
                <w:lang w:val="en-US" w:eastAsia="zh-CN"/>
              </w:rPr>
              <w:t>临时苫盖0.05</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664" w:type="dxa"/>
            <w:vAlign w:val="center"/>
          </w:tcPr>
          <w:p>
            <w:pPr>
              <w:widowControl/>
              <w:ind w:firstLine="0" w:firstLineChars="0"/>
              <w:jc w:val="center"/>
              <w:rPr>
                <w:rFonts w:ascii="Times New Roman" w:hAnsi="Times New Roman" w:cs="Times New Roman"/>
                <w:kern w:val="0"/>
                <w:sz w:val="21"/>
                <w:szCs w:val="21"/>
              </w:rPr>
            </w:pPr>
            <w:r>
              <w:rPr>
                <w:rFonts w:hint="default" w:cs="Times New Roman"/>
                <w:kern w:val="0"/>
                <w:sz w:val="21"/>
                <w:szCs w:val="21"/>
              </w:rPr>
              <w:t>施工道路</w:t>
            </w:r>
            <w:r>
              <w:rPr>
                <w:rFonts w:hint="eastAsia" w:ascii="Times New Roman" w:hAnsi="Times New Roman" w:cs="Times New Roman"/>
                <w:kern w:val="0"/>
                <w:sz w:val="21"/>
                <w:szCs w:val="21"/>
              </w:rPr>
              <w:t>区</w:t>
            </w:r>
          </w:p>
        </w:tc>
        <w:tc>
          <w:tcPr>
            <w:tcW w:w="1835" w:type="dxa"/>
            <w:vAlign w:val="center"/>
          </w:tcPr>
          <w:p>
            <w:pPr>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土地整治0.28</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p>
        </w:tc>
        <w:tc>
          <w:tcPr>
            <w:tcW w:w="2003" w:type="dxa"/>
            <w:vAlign w:val="center"/>
          </w:tcPr>
          <w:p>
            <w:pPr>
              <w:ind w:firstLine="0" w:firstLineChars="0"/>
              <w:jc w:val="center"/>
              <w:rPr>
                <w:rFonts w:ascii="Times New Roman" w:hAnsi="Times New Roman" w:cs="Times New Roman"/>
                <w:kern w:val="0"/>
                <w:sz w:val="21"/>
                <w:szCs w:val="21"/>
              </w:rPr>
            </w:pPr>
            <w:r>
              <w:rPr>
                <w:rFonts w:hint="eastAsia" w:cs="Times New Roman"/>
                <w:kern w:val="0"/>
                <w:sz w:val="21"/>
                <w:szCs w:val="21"/>
                <w:lang w:val="en-US" w:eastAsia="zh-CN"/>
              </w:rPr>
              <w:t>/</w:t>
            </w:r>
          </w:p>
        </w:tc>
        <w:tc>
          <w:tcPr>
            <w:tcW w:w="2408" w:type="dxa"/>
            <w:vAlign w:val="center"/>
          </w:tcPr>
          <w:p>
            <w:pPr>
              <w:ind w:firstLine="0" w:firstLineChars="0"/>
              <w:jc w:val="center"/>
              <w:rPr>
                <w:rFonts w:hint="eastAsia" w:ascii="Times New Roman" w:hAnsi="Times New Roman" w:cs="Times New Roman"/>
                <w:kern w:val="0"/>
                <w:sz w:val="21"/>
                <w:szCs w:val="21"/>
              </w:rPr>
            </w:pPr>
            <w:r>
              <w:rPr>
                <w:rFonts w:hint="eastAsia" w:cs="Times New Roman"/>
                <w:kern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664" w:type="dxa"/>
            <w:vAlign w:val="center"/>
          </w:tcPr>
          <w:p>
            <w:pPr>
              <w:widowControl/>
              <w:ind w:firstLine="0" w:firstLineChars="0"/>
              <w:jc w:val="center"/>
              <w:rPr>
                <w:rFonts w:ascii="Times New Roman" w:hAnsi="Times New Roman" w:cs="Times New Roman"/>
                <w:kern w:val="0"/>
                <w:sz w:val="21"/>
                <w:szCs w:val="21"/>
              </w:rPr>
            </w:pPr>
            <w:r>
              <w:rPr>
                <w:rFonts w:hint="default" w:cs="Times New Roman"/>
                <w:kern w:val="0"/>
                <w:sz w:val="21"/>
                <w:szCs w:val="21"/>
              </w:rPr>
              <w:t>牵张厂</w:t>
            </w:r>
            <w:r>
              <w:rPr>
                <w:rFonts w:hint="eastAsia" w:ascii="Times New Roman" w:hAnsi="Times New Roman" w:cs="Times New Roman"/>
                <w:kern w:val="0"/>
                <w:sz w:val="21"/>
                <w:szCs w:val="21"/>
              </w:rPr>
              <w:t>区</w:t>
            </w:r>
          </w:p>
        </w:tc>
        <w:tc>
          <w:tcPr>
            <w:tcW w:w="1835" w:type="dxa"/>
            <w:vAlign w:val="center"/>
          </w:tcPr>
          <w:p>
            <w:pPr>
              <w:widowControl/>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土地整治0.75</w:t>
            </w:r>
            <w:r>
              <w:rPr>
                <w:rFonts w:hint="eastAsia" w:ascii="Times New Roman" w:hAnsi="Times New Roman" w:eastAsia="仿宋_GB2312" w:cs="Times New Roman"/>
                <w:sz w:val="24"/>
                <w:szCs w:val="22"/>
              </w:rPr>
              <w:t>hm</w:t>
            </w:r>
            <w:r>
              <w:rPr>
                <w:rFonts w:ascii="Times New Roman" w:hAnsi="Times New Roman" w:eastAsia="仿宋_GB2312" w:cs="Times New Roman"/>
                <w:sz w:val="24"/>
                <w:szCs w:val="22"/>
              </w:rPr>
              <w:t>²</w:t>
            </w:r>
          </w:p>
        </w:tc>
        <w:tc>
          <w:tcPr>
            <w:tcW w:w="2003" w:type="dxa"/>
            <w:vAlign w:val="center"/>
          </w:tcPr>
          <w:p>
            <w:pPr>
              <w:widowControl/>
              <w:ind w:firstLine="0" w:firstLineChars="0"/>
              <w:jc w:val="center"/>
              <w:rPr>
                <w:rFonts w:ascii="Times New Roman" w:hAnsi="Times New Roman" w:cs="Times New Roman"/>
                <w:kern w:val="0"/>
                <w:sz w:val="21"/>
                <w:szCs w:val="21"/>
              </w:rPr>
            </w:pPr>
            <w:r>
              <w:rPr>
                <w:rFonts w:hint="eastAsia" w:cs="Times New Roman"/>
                <w:kern w:val="0"/>
                <w:sz w:val="21"/>
                <w:szCs w:val="21"/>
                <w:lang w:val="en-US" w:eastAsia="zh-CN"/>
              </w:rPr>
              <w:t>/</w:t>
            </w:r>
          </w:p>
        </w:tc>
        <w:tc>
          <w:tcPr>
            <w:tcW w:w="2408" w:type="dxa"/>
            <w:vAlign w:val="center"/>
          </w:tcPr>
          <w:p>
            <w:pPr>
              <w:widowControl/>
              <w:ind w:firstLine="0" w:firstLineChars="0"/>
              <w:jc w:val="center"/>
              <w:rPr>
                <w:rFonts w:hint="eastAsia" w:ascii="Times New Roman" w:hAnsi="Times New Roman" w:cs="Times New Roman"/>
                <w:kern w:val="0"/>
                <w:sz w:val="21"/>
                <w:szCs w:val="21"/>
              </w:rPr>
            </w:pPr>
            <w:r>
              <w:rPr>
                <w:rFonts w:hint="eastAsia" w:cs="Times New Roman"/>
                <w:kern w:val="0"/>
                <w:sz w:val="21"/>
                <w:szCs w:val="21"/>
                <w:lang w:val="en-US" w:eastAsia="zh-CN"/>
              </w:rPr>
              <w:t>/</w:t>
            </w:r>
          </w:p>
        </w:tc>
      </w:tr>
    </w:tbl>
    <w:p>
      <w:pPr>
        <w:pStyle w:val="3"/>
      </w:pPr>
      <w:bookmarkStart w:id="61" w:name="_Toc50731631"/>
      <w:r>
        <w:rPr>
          <w:rFonts w:hint="eastAsia"/>
          <w:lang w:val="en-US" w:eastAsia="zh-CN"/>
        </w:rPr>
        <w:t>9</w:t>
      </w:r>
      <w:r>
        <w:t xml:space="preserve"> </w:t>
      </w:r>
      <w:r>
        <w:rPr>
          <w:rFonts w:hint="eastAsia"/>
        </w:rPr>
        <w:t>投资估算与效益分析</w:t>
      </w:r>
      <w:bookmarkEnd w:id="61"/>
    </w:p>
    <w:p>
      <w:pPr>
        <w:pStyle w:val="4"/>
      </w:pPr>
      <w:bookmarkStart w:id="62" w:name="_Toc50731632"/>
      <w:bookmarkStart w:id="63" w:name="_Toc9765025"/>
      <w:bookmarkStart w:id="64" w:name="_Toc2140"/>
      <w:bookmarkStart w:id="65" w:name="_Toc21447556"/>
      <w:bookmarkStart w:id="66" w:name="_Toc14179118"/>
      <w:bookmarkStart w:id="67" w:name="_Toc16833"/>
      <w:bookmarkStart w:id="68" w:name="_Toc4759"/>
      <w:bookmarkStart w:id="69" w:name="_Toc29182971"/>
      <w:bookmarkStart w:id="70" w:name="_Toc18704"/>
      <w:bookmarkStart w:id="71" w:name="_Toc18345"/>
      <w:bookmarkStart w:id="72" w:name="_Toc27320"/>
      <w:bookmarkStart w:id="73" w:name="_Toc39672248"/>
      <w:bookmarkStart w:id="74" w:name="_Toc32362"/>
      <w:r>
        <w:rPr>
          <w:rFonts w:hint="eastAsia"/>
          <w:lang w:val="en-US" w:eastAsia="zh-CN"/>
        </w:rPr>
        <w:t>9</w:t>
      </w:r>
      <w:r>
        <w:t xml:space="preserve">.1 </w:t>
      </w:r>
      <w:r>
        <w:rPr>
          <w:rFonts w:hint="eastAsia"/>
          <w:lang w:val="en-US" w:eastAsia="zh-CN"/>
        </w:rPr>
        <w:t>水土保持</w:t>
      </w:r>
      <w:r>
        <w:rPr>
          <w:rFonts w:hint="eastAsia"/>
        </w:rPr>
        <w:t>投资估算</w:t>
      </w:r>
      <w:bookmarkEnd w:id="62"/>
    </w:p>
    <w:p>
      <w:pPr>
        <w:spacing w:line="360" w:lineRule="auto"/>
        <w:ind w:firstLine="480" w:firstLineChars="200"/>
      </w:pPr>
      <w:r>
        <w:rPr>
          <w:rFonts w:ascii="Times New Roman" w:hAnsi="Times New Roman" w:eastAsia="仿宋_GB2312" w:cs="Times New Roman"/>
          <w:sz w:val="24"/>
          <w:szCs w:val="22"/>
        </w:rPr>
        <w:t>本工程水土保持总投资</w:t>
      </w:r>
      <w:r>
        <w:rPr>
          <w:rFonts w:hint="eastAsia" w:cs="Times New Roman"/>
          <w:sz w:val="24"/>
          <w:szCs w:val="22"/>
          <w:lang w:val="en-US" w:eastAsia="zh-CN"/>
        </w:rPr>
        <w:t>17</w:t>
      </w:r>
      <w:r>
        <w:rPr>
          <w:rFonts w:ascii="Times New Roman" w:hAnsi="Times New Roman" w:eastAsia="仿宋_GB2312" w:cs="Times New Roman"/>
          <w:sz w:val="24"/>
          <w:szCs w:val="22"/>
        </w:rPr>
        <w:t>万元，其中：工程措施</w:t>
      </w:r>
      <w:r>
        <w:rPr>
          <w:rFonts w:hint="eastAsia" w:ascii="Times New Roman" w:hAnsi="Times New Roman" w:cs="Times New Roman"/>
          <w:sz w:val="24"/>
          <w:szCs w:val="22"/>
          <w:lang w:val="en-US" w:eastAsia="zh-CN"/>
        </w:rPr>
        <w:t>3.76</w:t>
      </w:r>
      <w:r>
        <w:rPr>
          <w:rFonts w:ascii="Times New Roman" w:hAnsi="Times New Roman" w:eastAsia="仿宋_GB2312" w:cs="Times New Roman"/>
          <w:sz w:val="24"/>
          <w:szCs w:val="22"/>
        </w:rPr>
        <w:t>万元，</w:t>
      </w:r>
      <w:r>
        <w:rPr>
          <w:rFonts w:hint="eastAsia" w:cs="Times New Roman"/>
          <w:sz w:val="24"/>
          <w:szCs w:val="22"/>
          <w:lang w:val="en-US" w:eastAsia="zh-CN"/>
        </w:rPr>
        <w:t>植物措施0.5</w:t>
      </w:r>
      <w:r>
        <w:rPr>
          <w:rFonts w:ascii="Times New Roman" w:hAnsi="Times New Roman" w:eastAsia="仿宋_GB2312" w:cs="Times New Roman"/>
          <w:sz w:val="24"/>
          <w:szCs w:val="22"/>
        </w:rPr>
        <w:t>万元，临时措施</w:t>
      </w:r>
      <w:r>
        <w:rPr>
          <w:rFonts w:hint="eastAsia" w:ascii="Times New Roman" w:hAnsi="Times New Roman" w:cs="Times New Roman"/>
          <w:sz w:val="24"/>
          <w:szCs w:val="22"/>
          <w:lang w:val="en-US" w:eastAsia="zh-CN"/>
        </w:rPr>
        <w:t>0.33</w:t>
      </w:r>
      <w:r>
        <w:rPr>
          <w:rFonts w:ascii="Times New Roman" w:hAnsi="Times New Roman" w:eastAsia="仿宋_GB2312" w:cs="Times New Roman"/>
          <w:sz w:val="24"/>
          <w:szCs w:val="22"/>
        </w:rPr>
        <w:t>万元，独立费用</w:t>
      </w:r>
      <w:r>
        <w:rPr>
          <w:rFonts w:hint="eastAsia" w:ascii="Times New Roman" w:hAnsi="Times New Roman" w:cs="Times New Roman"/>
          <w:sz w:val="24"/>
          <w:szCs w:val="22"/>
          <w:lang w:val="en-US" w:eastAsia="zh-CN"/>
        </w:rPr>
        <w:t>8.76</w:t>
      </w:r>
      <w:r>
        <w:rPr>
          <w:rFonts w:ascii="Times New Roman" w:hAnsi="Times New Roman" w:eastAsia="仿宋_GB2312" w:cs="Times New Roman"/>
          <w:sz w:val="24"/>
          <w:szCs w:val="22"/>
        </w:rPr>
        <w:t>万元，基本预备费</w:t>
      </w:r>
      <w:r>
        <w:rPr>
          <w:rFonts w:hint="eastAsia" w:ascii="Times New Roman" w:hAnsi="Times New Roman" w:cs="Times New Roman"/>
          <w:sz w:val="24"/>
          <w:szCs w:val="22"/>
          <w:lang w:val="en-US" w:eastAsia="zh-CN"/>
        </w:rPr>
        <w:t>0.77</w:t>
      </w:r>
      <w:r>
        <w:rPr>
          <w:rFonts w:ascii="Times New Roman" w:hAnsi="Times New Roman" w:eastAsia="仿宋_GB2312" w:cs="Times New Roman"/>
          <w:sz w:val="24"/>
          <w:szCs w:val="22"/>
        </w:rPr>
        <w:t>万元，水土保持补偿费</w:t>
      </w:r>
      <w:r>
        <w:rPr>
          <w:rFonts w:hint="eastAsia" w:ascii="Times New Roman" w:hAnsi="Times New Roman" w:cs="Times New Roman"/>
          <w:sz w:val="24"/>
          <w:szCs w:val="22"/>
          <w:lang w:val="en-US" w:eastAsia="zh-CN"/>
        </w:rPr>
        <w:t>2.88</w:t>
      </w:r>
      <w:r>
        <w:rPr>
          <w:rFonts w:ascii="Times New Roman" w:hAnsi="Times New Roman" w:eastAsia="仿宋_GB2312" w:cs="Times New Roman"/>
          <w:sz w:val="24"/>
          <w:szCs w:val="22"/>
        </w:rPr>
        <w:t>万元。</w:t>
      </w:r>
    </w:p>
    <w:p>
      <w:pPr>
        <w:adjustRightInd w:val="0"/>
        <w:snapToGrid w:val="0"/>
        <w:spacing w:line="360" w:lineRule="auto"/>
        <w:ind w:firstLine="422" w:firstLineChars="200"/>
        <w:jc w:val="center"/>
        <w:rPr>
          <w:rFonts w:ascii="Times New Roman" w:hAnsi="Times New Roman" w:eastAsia="仿宋_GB2312" w:cs="Times New Roman"/>
          <w:b/>
          <w:bCs/>
          <w:color w:val="000000"/>
          <w:kern w:val="0"/>
          <w:sz w:val="21"/>
          <w:szCs w:val="24"/>
          <w:lang w:val="zh-CN"/>
        </w:rPr>
      </w:pPr>
      <w:r>
        <w:rPr>
          <w:rFonts w:ascii="Times New Roman" w:hAnsi="Times New Roman" w:eastAsia="仿宋_GB2312" w:cs="Times New Roman"/>
          <w:b/>
          <w:bCs/>
          <w:color w:val="000000"/>
          <w:kern w:val="0"/>
          <w:sz w:val="21"/>
          <w:szCs w:val="24"/>
          <w:lang w:val="zh-CN"/>
        </w:rPr>
        <w:t xml:space="preserve"> 表</w:t>
      </w:r>
      <w:r>
        <w:rPr>
          <w:rFonts w:hint="eastAsia" w:cs="Times New Roman"/>
          <w:b/>
          <w:bCs/>
          <w:color w:val="000000"/>
          <w:kern w:val="0"/>
          <w:sz w:val="21"/>
          <w:szCs w:val="24"/>
          <w:lang w:val="en-US" w:eastAsia="zh-CN"/>
        </w:rPr>
        <w:t>9</w:t>
      </w:r>
      <w:r>
        <w:rPr>
          <w:rFonts w:ascii="Times New Roman" w:hAnsi="Times New Roman" w:eastAsia="仿宋_GB2312" w:cs="Times New Roman"/>
          <w:b/>
          <w:bCs/>
          <w:color w:val="000000"/>
          <w:kern w:val="0"/>
          <w:sz w:val="21"/>
          <w:szCs w:val="24"/>
          <w:lang w:val="zh-CN"/>
        </w:rPr>
        <w:t>-</w:t>
      </w:r>
      <w:r>
        <w:rPr>
          <w:rFonts w:hint="eastAsia" w:ascii="Times New Roman" w:hAnsi="Times New Roman" w:cs="Times New Roman"/>
          <w:b/>
          <w:bCs/>
          <w:color w:val="000000"/>
          <w:kern w:val="0"/>
          <w:sz w:val="21"/>
          <w:szCs w:val="24"/>
          <w:lang w:val="en-US" w:eastAsia="zh-CN"/>
        </w:rPr>
        <w:t>1</w:t>
      </w:r>
      <w:r>
        <w:rPr>
          <w:rFonts w:ascii="Times New Roman" w:hAnsi="Times New Roman" w:eastAsia="仿宋_GB2312" w:cs="Times New Roman"/>
          <w:b/>
          <w:bCs/>
          <w:color w:val="000000"/>
          <w:kern w:val="0"/>
          <w:sz w:val="21"/>
          <w:szCs w:val="24"/>
          <w:lang w:val="zh-CN"/>
        </w:rPr>
        <w:t xml:space="preserve">   水土保持投资估算总表          单位：万元</w:t>
      </w:r>
    </w:p>
    <w:tbl>
      <w:tblPr>
        <w:tblStyle w:val="15"/>
        <w:tblpPr w:leftFromText="180" w:rightFromText="180" w:vertAnchor="text" w:horzAnchor="margin" w:tblpY="3"/>
        <w:tblW w:w="499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690"/>
        <w:gridCol w:w="812"/>
        <w:gridCol w:w="880"/>
        <w:gridCol w:w="655"/>
        <w:gridCol w:w="584"/>
        <w:gridCol w:w="693"/>
        <w:gridCol w:w="815"/>
        <w:gridCol w:w="965"/>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bookmarkStart w:id="75" w:name="_Hlk9600590"/>
            <w:r>
              <w:rPr>
                <w:rFonts w:ascii="Times New Roman" w:hAnsi="Times New Roman" w:eastAsia="仿宋_GB2312" w:cs="Times New Roman"/>
                <w:kern w:val="0"/>
                <w:sz w:val="21"/>
                <w:szCs w:val="21"/>
              </w:rPr>
              <w:t>序号</w:t>
            </w:r>
          </w:p>
        </w:tc>
        <w:tc>
          <w:tcPr>
            <w:tcW w:w="993"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工程或费用名称</w:t>
            </w:r>
          </w:p>
        </w:tc>
        <w:tc>
          <w:tcPr>
            <w:tcW w:w="477"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建安</w:t>
            </w:r>
          </w:p>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工程费</w:t>
            </w:r>
          </w:p>
        </w:tc>
        <w:tc>
          <w:tcPr>
            <w:tcW w:w="902"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林草工程费</w:t>
            </w:r>
          </w:p>
        </w:tc>
        <w:tc>
          <w:tcPr>
            <w:tcW w:w="343"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设备费</w:t>
            </w:r>
          </w:p>
        </w:tc>
        <w:tc>
          <w:tcPr>
            <w:tcW w:w="407"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独立费用</w:t>
            </w:r>
          </w:p>
        </w:tc>
        <w:tc>
          <w:tcPr>
            <w:tcW w:w="479"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新增</w:t>
            </w:r>
          </w:p>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投资</w:t>
            </w:r>
          </w:p>
        </w:tc>
        <w:tc>
          <w:tcPr>
            <w:tcW w:w="567"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主体</w:t>
            </w:r>
          </w:p>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投资</w:t>
            </w:r>
          </w:p>
        </w:tc>
        <w:tc>
          <w:tcPr>
            <w:tcW w:w="579" w:type="pct"/>
            <w:vMerge w:val="restar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投资</w:t>
            </w:r>
          </w:p>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993"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7"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栽植</w:t>
            </w:r>
          </w:p>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管护费</w:t>
            </w: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种苗费</w:t>
            </w:r>
          </w:p>
        </w:tc>
        <w:tc>
          <w:tcPr>
            <w:tcW w:w="343"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67"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vMerge w:val="continue"/>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7"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第一部分  工程措施</w:t>
            </w:r>
          </w:p>
        </w:tc>
        <w:tc>
          <w:tcPr>
            <w:tcW w:w="47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3.76</w:t>
            </w: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3.76</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一</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cs="Times New Roman"/>
                <w:kern w:val="0"/>
                <w:sz w:val="21"/>
                <w:szCs w:val="21"/>
                <w:lang w:val="en-US" w:eastAsia="zh-CN"/>
              </w:rPr>
              <w:t>集电线路</w:t>
            </w:r>
            <w:r>
              <w:rPr>
                <w:rFonts w:ascii="Times New Roman" w:hAnsi="Times New Roman" w:eastAsia="仿宋_GB2312" w:cs="Times New Roman"/>
                <w:kern w:val="0"/>
                <w:sz w:val="21"/>
                <w:szCs w:val="21"/>
              </w:rPr>
              <w:t>区</w:t>
            </w:r>
          </w:p>
        </w:tc>
        <w:tc>
          <w:tcPr>
            <w:tcW w:w="477" w:type="pct"/>
            <w:shd w:val="clear" w:color="auto" w:fill="auto"/>
            <w:vAlign w:val="center"/>
          </w:tcPr>
          <w:p>
            <w:pPr>
              <w:widowControl/>
              <w:spacing w:line="240" w:lineRule="auto"/>
              <w:ind w:firstLine="0" w:firstLineChars="0"/>
              <w:jc w:val="both"/>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2.39</w:t>
            </w: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2.39</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2.39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二</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cs="Times New Roman"/>
                <w:kern w:val="0"/>
                <w:sz w:val="21"/>
                <w:szCs w:val="21"/>
                <w:lang w:val="en-US" w:eastAsia="zh-CN"/>
              </w:rPr>
              <w:t>施工道路</w:t>
            </w:r>
            <w:r>
              <w:rPr>
                <w:rFonts w:ascii="Times New Roman" w:hAnsi="Times New Roman" w:eastAsia="仿宋_GB2312" w:cs="Times New Roman"/>
                <w:kern w:val="0"/>
                <w:sz w:val="21"/>
                <w:szCs w:val="21"/>
              </w:rPr>
              <w:t>区</w:t>
            </w:r>
          </w:p>
        </w:tc>
        <w:tc>
          <w:tcPr>
            <w:tcW w:w="47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0.37</w:t>
            </w: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0.37</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三</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cs="Times New Roman"/>
                <w:kern w:val="0"/>
                <w:sz w:val="21"/>
                <w:szCs w:val="21"/>
                <w:lang w:val="en-US" w:eastAsia="zh-CN"/>
              </w:rPr>
              <w:t>牵张场</w:t>
            </w:r>
            <w:r>
              <w:rPr>
                <w:rFonts w:hint="eastAsia" w:ascii="Times New Roman" w:hAnsi="Times New Roman" w:eastAsia="仿宋_GB2312" w:cs="Times New Roman"/>
                <w:kern w:val="0"/>
                <w:sz w:val="21"/>
                <w:szCs w:val="21"/>
              </w:rPr>
              <w:t>区</w:t>
            </w:r>
          </w:p>
        </w:tc>
        <w:tc>
          <w:tcPr>
            <w:tcW w:w="47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1.00</w:t>
            </w: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1.00</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243" w:type="pct"/>
            <w:gridSpan w:val="2"/>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第二部分  植物措施</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eastAsia" w:ascii="Times New Roman" w:hAnsi="Times New Roman" w:cs="Times New Roman"/>
                <w:kern w:val="0"/>
                <w:sz w:val="21"/>
                <w:szCs w:val="21"/>
                <w:lang w:val="en-US" w:eastAsia="zh-CN"/>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eastAsia" w:ascii="Times New Roman" w:hAnsi="Times New Roman" w:cs="Times New Roman"/>
                <w:kern w:val="0"/>
                <w:sz w:val="21"/>
                <w:szCs w:val="21"/>
                <w:lang w:val="en-US" w:eastAsia="zh-CN"/>
              </w:rPr>
            </w:pP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一</w:t>
            </w:r>
          </w:p>
        </w:tc>
        <w:tc>
          <w:tcPr>
            <w:tcW w:w="99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集电线路区</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eastAsia" w:ascii="Times New Roman" w:hAnsi="Times New Roman" w:cs="Times New Roman"/>
                <w:kern w:val="0"/>
                <w:sz w:val="21"/>
                <w:szCs w:val="21"/>
                <w:lang w:val="en-US" w:eastAsia="zh-CN"/>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eastAsia" w:ascii="Times New Roman" w:hAnsi="Times New Roman" w:cs="Times New Roman"/>
                <w:kern w:val="0"/>
                <w:sz w:val="21"/>
                <w:szCs w:val="21"/>
                <w:lang w:val="en-US" w:eastAsia="zh-CN"/>
              </w:rPr>
            </w:pP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cs="Times New Roman"/>
                <w:kern w:val="0"/>
                <w:sz w:val="21"/>
                <w:szCs w:val="21"/>
                <w:lang w:val="en-US" w:eastAsia="zh-CN"/>
              </w:rPr>
            </w:pPr>
            <w:r>
              <w:rPr>
                <w:rFonts w:hint="eastAsia" w:cs="Times New Roman"/>
                <w:kern w:val="0"/>
                <w:sz w:val="21"/>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第</w:t>
            </w:r>
            <w:r>
              <w:rPr>
                <w:rFonts w:hint="eastAsia" w:ascii="Times New Roman" w:hAnsi="Times New Roman" w:cs="Times New Roman"/>
                <w:kern w:val="0"/>
                <w:sz w:val="21"/>
                <w:szCs w:val="21"/>
                <w:lang w:val="en-US" w:eastAsia="zh-CN"/>
              </w:rPr>
              <w:t>二</w:t>
            </w:r>
            <w:r>
              <w:rPr>
                <w:rFonts w:ascii="Times New Roman" w:hAnsi="Times New Roman" w:eastAsia="仿宋_GB2312" w:cs="Times New Roman"/>
                <w:kern w:val="0"/>
                <w:sz w:val="21"/>
                <w:szCs w:val="21"/>
              </w:rPr>
              <w:t>部分  临时工程</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0.33</w:t>
            </w: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0.33</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一</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临时防护工程</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0.28</w:t>
            </w: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0.28</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1</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集电线路区</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0.28</w:t>
            </w: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0.28</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二</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其他临时工程</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0.05</w:t>
            </w: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0.05</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第</w:t>
            </w:r>
            <w:r>
              <w:rPr>
                <w:rFonts w:hint="eastAsia" w:ascii="Times New Roman" w:hAnsi="Times New Roman" w:cs="Times New Roman"/>
                <w:kern w:val="0"/>
                <w:sz w:val="21"/>
                <w:szCs w:val="21"/>
                <w:lang w:val="en-US" w:eastAsia="zh-CN"/>
              </w:rPr>
              <w:t>三</w:t>
            </w:r>
            <w:r>
              <w:rPr>
                <w:rFonts w:ascii="Times New Roman" w:hAnsi="Times New Roman" w:eastAsia="仿宋_GB2312" w:cs="Times New Roman"/>
                <w:kern w:val="0"/>
                <w:sz w:val="21"/>
                <w:szCs w:val="21"/>
              </w:rPr>
              <w:t>部分  独立费用</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8.76</w:t>
            </w: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8.76</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一</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建设管理费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0.76</w:t>
            </w: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0.76</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二</w:t>
            </w:r>
          </w:p>
        </w:tc>
        <w:tc>
          <w:tcPr>
            <w:tcW w:w="993" w:type="pct"/>
            <w:shd w:val="clear" w:color="auto" w:fill="auto"/>
            <w:noWrap/>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科研勘测设计费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4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三</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水土保持监测费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4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四</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水土保持监理费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2</w:t>
            </w:r>
          </w:p>
        </w:tc>
        <w:tc>
          <w:tcPr>
            <w:tcW w:w="4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2</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五</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水土保持验收费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c>
          <w:tcPr>
            <w:tcW w:w="4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250"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六</w:t>
            </w:r>
          </w:p>
        </w:tc>
        <w:tc>
          <w:tcPr>
            <w:tcW w:w="99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方案编制费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c>
          <w:tcPr>
            <w:tcW w:w="4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eastAsia"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9"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第一至第</w:t>
            </w:r>
            <w:r>
              <w:rPr>
                <w:rFonts w:hint="eastAsia" w:ascii="Times New Roman" w:hAnsi="Times New Roman" w:cs="Times New Roman"/>
                <w:kern w:val="0"/>
                <w:sz w:val="21"/>
                <w:szCs w:val="21"/>
                <w:lang w:val="en-US" w:eastAsia="zh-CN"/>
              </w:rPr>
              <w:t>三</w:t>
            </w:r>
            <w:r>
              <w:rPr>
                <w:rFonts w:ascii="Times New Roman" w:hAnsi="Times New Roman" w:eastAsia="仿宋_GB2312" w:cs="Times New Roman"/>
                <w:kern w:val="0"/>
                <w:sz w:val="21"/>
                <w:szCs w:val="21"/>
              </w:rPr>
              <w:t>部分合计</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12.85</w:t>
            </w: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1</w:t>
            </w:r>
            <w:r>
              <w:rPr>
                <w:rFonts w:hint="eastAsia" w:cs="Times New Roman"/>
                <w:kern w:val="0"/>
                <w:sz w:val="21"/>
                <w:szCs w:val="21"/>
                <w:lang w:val="en-US" w:eastAsia="zh-CN"/>
              </w:rPr>
              <w:t>3.3</w:t>
            </w:r>
            <w:r>
              <w:rPr>
                <w:rFonts w:hint="eastAsia" w:ascii="Times New Roman" w:hAnsi="Times New Roman" w:cs="Times New Roman"/>
                <w:kern w:val="0"/>
                <w:sz w:val="21"/>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基本预备费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水土保持补偿费</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ascii="Times New Roman" w:hAnsi="Times New Roman" w:cs="Times New Roman"/>
                <w:kern w:val="0"/>
                <w:sz w:val="21"/>
                <w:szCs w:val="21"/>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1" w:hRule="atLeast"/>
        </w:trPr>
        <w:tc>
          <w:tcPr>
            <w:tcW w:w="1243" w:type="pct"/>
            <w:gridSpan w:val="2"/>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水土保持工程总投资</w:t>
            </w:r>
          </w:p>
        </w:tc>
        <w:tc>
          <w:tcPr>
            <w:tcW w:w="47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1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85"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343"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0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4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p>
        </w:tc>
        <w:tc>
          <w:tcPr>
            <w:tcW w:w="567" w:type="pct"/>
            <w:shd w:val="clear" w:color="auto" w:fill="auto"/>
            <w:vAlign w:val="center"/>
          </w:tcPr>
          <w:p>
            <w:pPr>
              <w:widowControl/>
              <w:spacing w:line="240" w:lineRule="auto"/>
              <w:ind w:firstLine="0" w:firstLineChars="0"/>
              <w:jc w:val="center"/>
              <w:rPr>
                <w:rFonts w:ascii="Times New Roman" w:hAnsi="Times New Roman" w:eastAsia="仿宋_GB2312" w:cs="Times New Roman"/>
                <w:kern w:val="0"/>
                <w:sz w:val="21"/>
                <w:szCs w:val="21"/>
              </w:rPr>
            </w:pPr>
          </w:p>
        </w:tc>
        <w:tc>
          <w:tcPr>
            <w:tcW w:w="579" w:type="pct"/>
            <w:shd w:val="clear" w:color="auto" w:fill="auto"/>
            <w:vAlign w:val="center"/>
          </w:tcPr>
          <w:p>
            <w:pPr>
              <w:widowControl/>
              <w:spacing w:line="240" w:lineRule="auto"/>
              <w:ind w:firstLine="0" w:firstLineChars="0"/>
              <w:jc w:val="center"/>
              <w:rPr>
                <w:rFonts w:hint="default" w:ascii="Times New Roman" w:hAnsi="Times New Roman" w:eastAsia="仿宋_GB2312" w:cs="Times New Roman"/>
                <w:kern w:val="0"/>
                <w:sz w:val="21"/>
                <w:szCs w:val="21"/>
                <w:lang w:val="en-US" w:eastAsia="zh-CN"/>
              </w:rPr>
            </w:pPr>
            <w:r>
              <w:rPr>
                <w:rFonts w:hint="eastAsia" w:cs="Times New Roman"/>
                <w:kern w:val="0"/>
                <w:sz w:val="21"/>
                <w:szCs w:val="21"/>
                <w:lang w:val="en-US" w:eastAsia="zh-CN"/>
              </w:rPr>
              <w:t>17</w:t>
            </w:r>
          </w:p>
        </w:tc>
      </w:tr>
      <w:bookmarkEnd w:id="75"/>
    </w:tbl>
    <w:p>
      <w:pPr>
        <w:pStyle w:val="4"/>
        <w:rPr>
          <w:rFonts w:hint="eastAsia" w:ascii="Times New Roman" w:hAnsi="Times New Roman"/>
          <w:lang w:val="en-US" w:eastAsia="zh-CN"/>
        </w:rPr>
      </w:pPr>
      <w:r>
        <w:rPr>
          <w:rFonts w:hint="eastAsia"/>
          <w:lang w:val="en-US" w:eastAsia="zh-CN"/>
        </w:rPr>
        <w:t>9</w:t>
      </w:r>
      <w:r>
        <w:rPr>
          <w:rFonts w:hint="eastAsia" w:ascii="Times New Roman" w:hAnsi="Times New Roman"/>
          <w:lang w:val="en-US" w:eastAsia="zh-CN"/>
        </w:rPr>
        <w:t>.2 效益分析</w:t>
      </w:r>
      <w:bookmarkEnd w:id="63"/>
      <w:bookmarkEnd w:id="64"/>
      <w:bookmarkEnd w:id="65"/>
      <w:bookmarkEnd w:id="66"/>
      <w:bookmarkEnd w:id="67"/>
      <w:bookmarkEnd w:id="68"/>
      <w:bookmarkEnd w:id="69"/>
      <w:bookmarkEnd w:id="70"/>
      <w:bookmarkEnd w:id="71"/>
      <w:bookmarkEnd w:id="72"/>
      <w:bookmarkEnd w:id="73"/>
      <w:bookmarkEnd w:id="74"/>
    </w:p>
    <w:p>
      <w:pPr>
        <w:adjustRightInd w:val="0"/>
        <w:snapToGrid w:val="0"/>
        <w:spacing w:line="360" w:lineRule="auto"/>
        <w:ind w:firstLine="480" w:firstLineChars="200"/>
        <w:rPr>
          <w:rFonts w:hint="eastAsia" w:eastAsia="仿宋_GB2312"/>
          <w:lang w:eastAsia="zh-CN"/>
        </w:rPr>
      </w:pPr>
      <w:r>
        <w:rPr>
          <w:rFonts w:ascii="Times New Roman" w:hAnsi="Times New Roman" w:eastAsia="仿宋_GB2312" w:cs="Times New Roman"/>
          <w:color w:val="000000" w:themeColor="text1"/>
          <w:sz w:val="24"/>
          <w14:textFill>
            <w14:solidFill>
              <w14:schemeClr w14:val="tx1"/>
            </w14:solidFill>
          </w14:textFill>
        </w:rPr>
        <w:t>各防治分区的水土保持</w:t>
      </w:r>
      <w:r>
        <w:rPr>
          <w:rFonts w:hint="eastAsia" w:ascii="Times New Roman" w:hAnsi="Times New Roman" w:eastAsia="仿宋_GB2312" w:cs="Times New Roman"/>
          <w:color w:val="000000" w:themeColor="text1"/>
          <w:sz w:val="24"/>
          <w14:textFill>
            <w14:solidFill>
              <w14:schemeClr w14:val="tx1"/>
            </w14:solidFill>
          </w14:textFill>
        </w:rPr>
        <w:t>措施</w:t>
      </w:r>
      <w:r>
        <w:rPr>
          <w:rFonts w:ascii="Times New Roman" w:hAnsi="Times New Roman" w:eastAsia="仿宋_GB2312" w:cs="Times New Roman"/>
          <w:color w:val="000000" w:themeColor="text1"/>
          <w:sz w:val="24"/>
          <w14:textFill>
            <w14:solidFill>
              <w14:schemeClr w14:val="tx1"/>
            </w14:solidFill>
          </w14:textFill>
        </w:rPr>
        <w:t>面积见表</w:t>
      </w:r>
      <w:r>
        <w:rPr>
          <w:rFonts w:hint="eastAsia" w:cs="Times New Roman"/>
          <w:color w:val="000000" w:themeColor="text1"/>
          <w:sz w:val="24"/>
          <w:lang w:val="en-US" w:eastAsia="zh-CN"/>
          <w14:textFill>
            <w14:solidFill>
              <w14:schemeClr w14:val="tx1"/>
            </w14:solidFill>
          </w14:textFill>
        </w:rPr>
        <w:t>9</w:t>
      </w:r>
      <w:r>
        <w:rPr>
          <w:rFonts w:ascii="Times New Roman" w:hAnsi="Times New Roman" w:eastAsia="仿宋_GB2312" w:cs="Times New Roman"/>
          <w:color w:val="000000" w:themeColor="text1"/>
          <w:sz w:val="24"/>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2</w:t>
      </w:r>
    </w:p>
    <w:p>
      <w:pPr>
        <w:spacing w:line="240" w:lineRule="auto"/>
        <w:ind w:firstLine="0" w:firstLineChars="0"/>
        <w:jc w:val="center"/>
        <w:rPr>
          <w:rFonts w:ascii="Times New Roman" w:hAnsi="Times New Roman" w:eastAsia="仿宋_GB2312" w:cs="Times New Roman"/>
          <w:b/>
          <w:bCs/>
          <w:color w:val="000000" w:themeColor="text1"/>
          <w:kern w:val="28"/>
          <w:sz w:val="21"/>
          <w:szCs w:val="32"/>
          <w:lang w:val="zh-CN"/>
          <w14:textFill>
            <w14:solidFill>
              <w14:schemeClr w14:val="tx1"/>
            </w14:solidFill>
          </w14:textFill>
        </w:rPr>
      </w:pPr>
      <w:r>
        <w:rPr>
          <w:rFonts w:ascii="Times New Roman" w:hAnsi="Times New Roman" w:eastAsia="仿宋_GB2312" w:cs="Times New Roman"/>
          <w:b/>
          <w:bCs/>
          <w:color w:val="000000" w:themeColor="text1"/>
          <w:kern w:val="28"/>
          <w:sz w:val="21"/>
          <w:szCs w:val="32"/>
          <w:lang w:val="zh-CN"/>
          <w14:textFill>
            <w14:solidFill>
              <w14:schemeClr w14:val="tx1"/>
            </w14:solidFill>
          </w14:textFill>
        </w:rPr>
        <w:t xml:space="preserve">表 </w:t>
      </w:r>
      <w:r>
        <w:rPr>
          <w:rFonts w:hint="eastAsia" w:cs="Times New Roman"/>
          <w:b/>
          <w:bCs/>
          <w:color w:val="000000" w:themeColor="text1"/>
          <w:kern w:val="28"/>
          <w:sz w:val="21"/>
          <w:szCs w:val="32"/>
          <w:lang w:val="en-US" w:eastAsia="zh-CN"/>
          <w14:textFill>
            <w14:solidFill>
              <w14:schemeClr w14:val="tx1"/>
            </w14:solidFill>
          </w14:textFill>
        </w:rPr>
        <w:t>9</w:t>
      </w:r>
      <w:r>
        <w:rPr>
          <w:rFonts w:ascii="Times New Roman" w:hAnsi="Times New Roman" w:eastAsia="仿宋_GB2312" w:cs="Times New Roman"/>
          <w:b/>
          <w:bCs/>
          <w:color w:val="000000" w:themeColor="text1"/>
          <w:kern w:val="28"/>
          <w:sz w:val="21"/>
          <w:szCs w:val="32"/>
          <w:lang w:val="zh-CN"/>
          <w14:textFill>
            <w14:solidFill>
              <w14:schemeClr w14:val="tx1"/>
            </w14:solidFill>
          </w14:textFill>
        </w:rPr>
        <w:t>-</w:t>
      </w:r>
      <w:r>
        <w:rPr>
          <w:rFonts w:hint="eastAsia" w:ascii="Times New Roman" w:hAnsi="Times New Roman" w:cs="Times New Roman"/>
          <w:b/>
          <w:bCs/>
          <w:color w:val="000000" w:themeColor="text1"/>
          <w:kern w:val="28"/>
          <w:sz w:val="21"/>
          <w:szCs w:val="32"/>
          <w:lang w:val="en-US" w:eastAsia="zh-CN"/>
          <w14:textFill>
            <w14:solidFill>
              <w14:schemeClr w14:val="tx1"/>
            </w14:solidFill>
          </w14:textFill>
        </w:rPr>
        <w:t>2</w:t>
      </w:r>
      <w:r>
        <w:rPr>
          <w:rFonts w:ascii="Times New Roman" w:hAnsi="Times New Roman" w:eastAsia="仿宋_GB2312" w:cs="Times New Roman"/>
          <w:b/>
          <w:bCs/>
          <w:color w:val="000000" w:themeColor="text1"/>
          <w:kern w:val="28"/>
          <w:sz w:val="21"/>
          <w:szCs w:val="32"/>
          <w:lang w:val="zh-CN"/>
          <w14:textFill>
            <w14:solidFill>
              <w14:schemeClr w14:val="tx1"/>
            </w14:solidFill>
          </w14:textFill>
        </w:rPr>
        <w:t xml:space="preserve">   各防治区采取的水土保持措施面积统计表（</w:t>
      </w:r>
      <w:r>
        <w:rPr>
          <w:rFonts w:ascii="Times New Roman" w:hAnsi="Times New Roman" w:eastAsia="仿宋_GB2312" w:cs="Times New Roman"/>
          <w:b/>
          <w:bCs/>
          <w:color w:val="000000" w:themeColor="text1"/>
          <w:kern w:val="0"/>
          <w:sz w:val="21"/>
          <w:szCs w:val="32"/>
          <w14:textFill>
            <w14:solidFill>
              <w14:schemeClr w14:val="tx1"/>
            </w14:solidFill>
          </w14:textFill>
        </w:rPr>
        <w:t>hm²</w:t>
      </w:r>
      <w:r>
        <w:rPr>
          <w:rFonts w:ascii="Times New Roman" w:hAnsi="Times New Roman" w:eastAsia="仿宋_GB2312" w:cs="Times New Roman"/>
          <w:b/>
          <w:bCs/>
          <w:color w:val="000000" w:themeColor="text1"/>
          <w:kern w:val="28"/>
          <w:sz w:val="21"/>
          <w:szCs w:val="32"/>
          <w:lang w:val="zh-CN"/>
          <w14:textFill>
            <w14:solidFill>
              <w14:schemeClr w14:val="tx1"/>
            </w14:solidFill>
          </w14:textFill>
        </w:rPr>
        <w:t>）</w:t>
      </w:r>
    </w:p>
    <w:tbl>
      <w:tblPr>
        <w:tblStyle w:val="15"/>
        <w:tblW w:w="96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1500"/>
        <w:gridCol w:w="1380"/>
        <w:gridCol w:w="1140"/>
        <w:gridCol w:w="1395"/>
        <w:gridCol w:w="1128"/>
        <w:gridCol w:w="825"/>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00" w:type="dxa"/>
            <w:vMerge w:val="restart"/>
            <w:shd w:val="clear" w:color="auto" w:fill="auto"/>
            <w:vAlign w:val="center"/>
          </w:tcPr>
          <w:p>
            <w:pPr>
              <w:widowControl/>
              <w:spacing w:line="360" w:lineRule="auto"/>
              <w:ind w:firstLine="0" w:firstLineChars="0"/>
              <w:jc w:val="center"/>
              <w:rPr>
                <w:rFonts w:hint="default" w:ascii="Times New Roman" w:hAnsi="Times New Roman" w:eastAsia="仿宋_GB2312" w:cs="Times New Roman"/>
                <w:color w:val="000000" w:themeColor="text1"/>
                <w:kern w:val="0"/>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防治分区</w:t>
            </w:r>
          </w:p>
        </w:tc>
        <w:tc>
          <w:tcPr>
            <w:tcW w:w="1500" w:type="dxa"/>
            <w:vMerge w:val="restart"/>
            <w:shd w:val="clear" w:color="auto" w:fill="auto"/>
            <w:vAlign w:val="center"/>
          </w:tcPr>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水土流失面积</w:t>
            </w:r>
          </w:p>
        </w:tc>
        <w:tc>
          <w:tcPr>
            <w:tcW w:w="2520" w:type="dxa"/>
            <w:gridSpan w:val="2"/>
            <w:shd w:val="clear" w:color="auto" w:fill="auto"/>
            <w:vAlign w:val="center"/>
          </w:tcPr>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水土保持措施防护面积</w:t>
            </w:r>
          </w:p>
        </w:tc>
        <w:tc>
          <w:tcPr>
            <w:tcW w:w="1395" w:type="dxa"/>
            <w:vMerge w:val="restart"/>
            <w:shd w:val="clear" w:color="auto" w:fill="auto"/>
            <w:vAlign w:val="center"/>
          </w:tcPr>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建筑物占地、</w:t>
            </w:r>
          </w:p>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硬化区域</w:t>
            </w:r>
          </w:p>
        </w:tc>
        <w:tc>
          <w:tcPr>
            <w:tcW w:w="1128" w:type="dxa"/>
            <w:vMerge w:val="restart"/>
            <w:shd w:val="clear" w:color="auto" w:fill="auto"/>
            <w:vAlign w:val="center"/>
          </w:tcPr>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14:textFill>
                  <w14:solidFill>
                    <w14:schemeClr w14:val="tx1"/>
                  </w14:solidFill>
                </w14:textFill>
              </w:rPr>
              <w:t>可恢复植被面积</w:t>
            </w:r>
          </w:p>
        </w:tc>
        <w:tc>
          <w:tcPr>
            <w:tcW w:w="825" w:type="dxa"/>
            <w:vMerge w:val="restart"/>
            <w:shd w:val="clear" w:color="auto" w:fill="auto"/>
            <w:vAlign w:val="center"/>
          </w:tcPr>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14:textFill>
                  <w14:solidFill>
                    <w14:schemeClr w14:val="tx1"/>
                  </w14:solidFill>
                </w14:textFill>
              </w:rPr>
              <w:t>水面</w:t>
            </w:r>
          </w:p>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14:textFill>
                  <w14:solidFill>
                    <w14:schemeClr w14:val="tx1"/>
                  </w14:solidFill>
                </w14:textFill>
              </w:rPr>
              <w:t>面积</w:t>
            </w:r>
          </w:p>
        </w:tc>
        <w:tc>
          <w:tcPr>
            <w:tcW w:w="763" w:type="dxa"/>
            <w:vMerge w:val="restart"/>
            <w:shd w:val="clear" w:color="auto" w:fill="auto"/>
            <w:vAlign w:val="center"/>
          </w:tcPr>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14:textFill>
                  <w14:solidFill>
                    <w14:schemeClr w14:val="tx1"/>
                  </w14:solidFill>
                </w14:textFill>
              </w:rPr>
              <w:t>复耕</w:t>
            </w:r>
          </w:p>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hint="eastAsia" w:ascii="Times New Roman" w:hAnsi="Times New Roman" w:eastAsia="仿宋_GB2312" w:cs="Times New Roman"/>
                <w:color w:val="000000" w:themeColor="text1"/>
                <w:kern w:val="0"/>
                <w:sz w:val="21"/>
                <w:szCs w:val="21"/>
                <w14:textFill>
                  <w14:solidFill>
                    <w14:schemeClr w14:val="tx1"/>
                  </w14:solidFill>
                </w14:textFill>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00" w:type="dxa"/>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c>
          <w:tcPr>
            <w:tcW w:w="1500" w:type="dxa"/>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c>
          <w:tcPr>
            <w:tcW w:w="1380" w:type="dxa"/>
            <w:shd w:val="clear" w:color="auto" w:fill="auto"/>
            <w:vAlign w:val="center"/>
          </w:tcPr>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植物措施</w:t>
            </w:r>
          </w:p>
        </w:tc>
        <w:tc>
          <w:tcPr>
            <w:tcW w:w="1140" w:type="dxa"/>
            <w:shd w:val="clear" w:color="auto" w:fill="auto"/>
            <w:vAlign w:val="center"/>
          </w:tcPr>
          <w:p>
            <w:pPr>
              <w:widowControl/>
              <w:spacing w:line="360" w:lineRule="auto"/>
              <w:ind w:firstLine="0" w:firstLineChars="0"/>
              <w:jc w:val="center"/>
              <w:rPr>
                <w:rFonts w:ascii="Times New Roman" w:hAnsi="Times New Roman" w:eastAsia="仿宋_GB2312" w:cs="Times New Roman"/>
                <w:color w:val="000000" w:themeColor="text1"/>
                <w:kern w:val="0"/>
                <w:sz w:val="21"/>
                <w:szCs w:val="21"/>
                <w14:textFill>
                  <w14:solidFill>
                    <w14:schemeClr w14:val="tx1"/>
                  </w14:solidFill>
                </w14:textFill>
              </w:rPr>
            </w:pPr>
            <w:r>
              <w:rPr>
                <w:rFonts w:ascii="Times New Roman" w:hAnsi="Times New Roman" w:eastAsia="仿宋_GB2312" w:cs="Times New Roman"/>
                <w:color w:val="000000" w:themeColor="text1"/>
                <w:kern w:val="0"/>
                <w:sz w:val="21"/>
                <w:szCs w:val="21"/>
                <w14:textFill>
                  <w14:solidFill>
                    <w14:schemeClr w14:val="tx1"/>
                  </w14:solidFill>
                </w14:textFill>
              </w:rPr>
              <w:t>工程措施</w:t>
            </w:r>
          </w:p>
        </w:tc>
        <w:tc>
          <w:tcPr>
            <w:tcW w:w="1395" w:type="dxa"/>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c>
          <w:tcPr>
            <w:tcW w:w="1128" w:type="dxa"/>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c>
          <w:tcPr>
            <w:tcW w:w="825" w:type="dxa"/>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c>
          <w:tcPr>
            <w:tcW w:w="763" w:type="dxa"/>
            <w:vMerge w:val="continue"/>
            <w:vAlign w:val="center"/>
          </w:tcPr>
          <w:p>
            <w:pPr>
              <w:widowControl/>
              <w:spacing w:line="360" w:lineRule="auto"/>
              <w:ind w:firstLine="420" w:firstLineChars="200"/>
              <w:jc w:val="center"/>
              <w:rPr>
                <w:rFonts w:ascii="Times New Roman" w:hAnsi="Times New Roman" w:eastAsia="仿宋_GB2312" w:cs="Times New Roman"/>
                <w:color w:val="000000" w:themeColor="text1"/>
                <w:kern w:val="0"/>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500"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集电线路区</w:t>
            </w:r>
          </w:p>
        </w:tc>
        <w:tc>
          <w:tcPr>
            <w:tcW w:w="1500"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1.85</w:t>
            </w:r>
          </w:p>
        </w:tc>
        <w:tc>
          <w:tcPr>
            <w:tcW w:w="1380"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r>
              <w:rPr>
                <w:rFonts w:hint="eastAsia" w:cs="Times New Roman"/>
                <w:color w:val="000000" w:themeColor="text1"/>
                <w:sz w:val="21"/>
                <w:szCs w:val="21"/>
                <w:lang w:val="en-US" w:eastAsia="zh-CN"/>
                <w14:textFill>
                  <w14:solidFill>
                    <w14:schemeClr w14:val="tx1"/>
                  </w14:solidFill>
                </w14:textFill>
              </w:rPr>
              <w:t>09</w:t>
            </w:r>
          </w:p>
        </w:tc>
        <w:tc>
          <w:tcPr>
            <w:tcW w:w="1140"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395"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w:t>
            </w:r>
            <w:r>
              <w:rPr>
                <w:rFonts w:hint="eastAsia" w:cs="Times New Roman"/>
                <w:color w:val="000000" w:themeColor="text1"/>
                <w:sz w:val="21"/>
                <w:szCs w:val="21"/>
                <w:lang w:val="en-US" w:eastAsia="zh-CN"/>
                <w14:textFill>
                  <w14:solidFill>
                    <w14:schemeClr w14:val="tx1"/>
                  </w14:solidFill>
                </w14:textFill>
              </w:rPr>
              <w:t>5</w:t>
            </w:r>
          </w:p>
        </w:tc>
        <w:tc>
          <w:tcPr>
            <w:tcW w:w="1128"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r>
              <w:rPr>
                <w:rFonts w:hint="eastAsia" w:cs="Times New Roman"/>
                <w:color w:val="000000" w:themeColor="text1"/>
                <w:sz w:val="21"/>
                <w:szCs w:val="21"/>
                <w:lang w:val="en-US" w:eastAsia="zh-CN"/>
                <w14:textFill>
                  <w14:solidFill>
                    <w14:schemeClr w14:val="tx1"/>
                  </w14:solidFill>
                </w14:textFill>
              </w:rPr>
              <w:t>09</w:t>
            </w:r>
          </w:p>
        </w:tc>
        <w:tc>
          <w:tcPr>
            <w:tcW w:w="825"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763"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1500"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施工道路区</w:t>
            </w:r>
          </w:p>
        </w:tc>
        <w:tc>
          <w:tcPr>
            <w:tcW w:w="1500"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0.28</w:t>
            </w:r>
          </w:p>
        </w:tc>
        <w:tc>
          <w:tcPr>
            <w:tcW w:w="1380"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140"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395"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128"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825"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763"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jc w:val="center"/>
        </w:trPr>
        <w:tc>
          <w:tcPr>
            <w:tcW w:w="1500"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牵张场区</w:t>
            </w:r>
          </w:p>
        </w:tc>
        <w:tc>
          <w:tcPr>
            <w:tcW w:w="1500"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0.75</w:t>
            </w:r>
          </w:p>
        </w:tc>
        <w:tc>
          <w:tcPr>
            <w:tcW w:w="1380"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140"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395"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128"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825"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763"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2" w:hRule="atLeast"/>
          <w:jc w:val="center"/>
        </w:trPr>
        <w:tc>
          <w:tcPr>
            <w:tcW w:w="1500" w:type="dxa"/>
            <w:shd w:val="clear" w:color="auto" w:fill="auto"/>
            <w:vAlign w:val="center"/>
          </w:tcPr>
          <w:p>
            <w:pPr>
              <w:spacing w:line="360" w:lineRule="auto"/>
              <w:ind w:firstLine="0" w:firstLineChars="0"/>
              <w:jc w:val="center"/>
              <w:rPr>
                <w:rFonts w:hint="eastAsia"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合计</w:t>
            </w:r>
          </w:p>
        </w:tc>
        <w:tc>
          <w:tcPr>
            <w:tcW w:w="1500"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2.88</w:t>
            </w:r>
          </w:p>
        </w:tc>
        <w:tc>
          <w:tcPr>
            <w:tcW w:w="1380"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0.09</w:t>
            </w:r>
          </w:p>
        </w:tc>
        <w:tc>
          <w:tcPr>
            <w:tcW w:w="1140"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1395"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w:t>
            </w:r>
            <w:r>
              <w:rPr>
                <w:rFonts w:hint="eastAsia" w:cs="Times New Roman"/>
                <w:color w:val="000000" w:themeColor="text1"/>
                <w:sz w:val="21"/>
                <w:szCs w:val="21"/>
                <w:lang w:val="en-US" w:eastAsia="zh-CN"/>
                <w14:textFill>
                  <w14:solidFill>
                    <w14:schemeClr w14:val="tx1"/>
                  </w14:solidFill>
                </w14:textFill>
              </w:rPr>
              <w:t>5</w:t>
            </w:r>
          </w:p>
        </w:tc>
        <w:tc>
          <w:tcPr>
            <w:tcW w:w="1128"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0.09</w:t>
            </w:r>
          </w:p>
        </w:tc>
        <w:tc>
          <w:tcPr>
            <w:tcW w:w="825" w:type="dxa"/>
            <w:shd w:val="clear" w:color="auto" w:fill="auto"/>
            <w:vAlign w:val="center"/>
          </w:tcPr>
          <w:p>
            <w:pPr>
              <w:spacing w:line="36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p>
        </w:tc>
        <w:tc>
          <w:tcPr>
            <w:tcW w:w="763" w:type="dxa"/>
            <w:shd w:val="clear" w:color="auto" w:fill="auto"/>
            <w:vAlign w:val="center"/>
          </w:tcPr>
          <w:p>
            <w:pPr>
              <w:spacing w:line="360" w:lineRule="auto"/>
              <w:ind w:firstLine="0" w:firstLineChars="0"/>
              <w:jc w:val="center"/>
              <w:rPr>
                <w:rFonts w:hint="default" w:ascii="Times New Roman" w:hAnsi="Times New Roman" w:eastAsia="仿宋_GB2312" w:cs="Times New Roman"/>
                <w:color w:val="000000" w:themeColor="text1"/>
                <w:sz w:val="21"/>
                <w:szCs w:val="21"/>
                <w:lang w:val="en-US"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2.74</w:t>
            </w:r>
          </w:p>
        </w:tc>
      </w:tr>
    </w:tbl>
    <w:p>
      <w:pPr>
        <w:spacing w:line="360" w:lineRule="auto"/>
        <w:ind w:firstLine="480" w:firstLineChars="200"/>
        <w:rPr>
          <w:rFonts w:ascii="Times New Roman" w:hAnsi="Times New Roman" w:eastAsia="仿宋_GB2312" w:cs="Times New Roman"/>
          <w:color w:val="000000" w:themeColor="text1"/>
          <w:sz w:val="24"/>
          <w14:textFill>
            <w14:solidFill>
              <w14:schemeClr w14:val="tx1"/>
            </w14:solidFill>
          </w14:textFill>
        </w:rPr>
      </w:pPr>
      <w:r>
        <w:rPr>
          <w:rFonts w:ascii="Times New Roman" w:hAnsi="Times New Roman" w:eastAsia="仿宋_GB2312" w:cs="Times New Roman"/>
          <w:color w:val="000000" w:themeColor="text1"/>
          <w:sz w:val="24"/>
          <w14:textFill>
            <w14:solidFill>
              <w14:schemeClr w14:val="tx1"/>
            </w14:solidFill>
          </w14:textFill>
        </w:rPr>
        <w:t>工程各项水土保持措施实施后，至设计水平年结束，水土流失治理度达到99.</w:t>
      </w:r>
      <w:r>
        <w:rPr>
          <w:rFonts w:hint="eastAsia" w:ascii="Times New Roman" w:hAnsi="Times New Roman" w:eastAsia="仿宋_GB2312" w:cs="Times New Roman"/>
          <w:color w:val="000000" w:themeColor="text1"/>
          <w:sz w:val="24"/>
          <w14:textFill>
            <w14:solidFill>
              <w14:schemeClr w14:val="tx1"/>
            </w14:solidFill>
          </w14:textFill>
        </w:rPr>
        <w:t>9</w:t>
      </w:r>
      <w:r>
        <w:rPr>
          <w:rFonts w:ascii="Times New Roman" w:hAnsi="Times New Roman" w:eastAsia="仿宋_GB2312" w:cs="Times New Roman"/>
          <w:color w:val="000000" w:themeColor="text1"/>
          <w:sz w:val="24"/>
          <w14:textFill>
            <w14:solidFill>
              <w14:schemeClr w14:val="tx1"/>
            </w14:solidFill>
          </w14:textFill>
        </w:rPr>
        <w:t>%；土壤流失控制比达到1.</w:t>
      </w:r>
      <w:r>
        <w:rPr>
          <w:rFonts w:hint="eastAsia" w:ascii="Times New Roman" w:hAnsi="Times New Roman" w:eastAsia="仿宋_GB2312" w:cs="Times New Roman"/>
          <w:color w:val="000000" w:themeColor="text1"/>
          <w:sz w:val="24"/>
          <w14:textFill>
            <w14:solidFill>
              <w14:schemeClr w14:val="tx1"/>
            </w14:solidFill>
          </w14:textFill>
        </w:rPr>
        <w:t>4</w:t>
      </w:r>
      <w:r>
        <w:rPr>
          <w:rFonts w:ascii="Times New Roman" w:hAnsi="Times New Roman" w:eastAsia="仿宋_GB2312" w:cs="Times New Roman"/>
          <w:color w:val="000000" w:themeColor="text1"/>
          <w:sz w:val="24"/>
          <w14:textFill>
            <w14:solidFill>
              <w14:schemeClr w14:val="tx1"/>
            </w14:solidFill>
          </w14:textFill>
        </w:rPr>
        <w:t>；渣土防护率达到99%；林草植被恢复率达到</w:t>
      </w:r>
      <w:r>
        <w:rPr>
          <w:rFonts w:hint="eastAsia" w:ascii="Times New Roman" w:hAnsi="Times New Roman" w:eastAsia="仿宋_GB2312" w:cs="Times New Roman"/>
          <w:color w:val="000000" w:themeColor="text1"/>
          <w:sz w:val="24"/>
          <w14:textFill>
            <w14:solidFill>
              <w14:schemeClr w14:val="tx1"/>
            </w14:solidFill>
          </w14:textFill>
        </w:rPr>
        <w:t>95.2</w:t>
      </w:r>
      <w:r>
        <w:rPr>
          <w:rFonts w:ascii="Times New Roman" w:hAnsi="Times New Roman" w:eastAsia="仿宋_GB2312" w:cs="Times New Roman"/>
          <w:color w:val="000000" w:themeColor="text1"/>
          <w:sz w:val="24"/>
          <w14:textFill>
            <w14:solidFill>
              <w14:schemeClr w14:val="tx1"/>
            </w14:solidFill>
          </w14:textFill>
        </w:rPr>
        <w:t>%；林草覆盖率达到</w:t>
      </w:r>
      <w:r>
        <w:rPr>
          <w:rFonts w:hint="eastAsia" w:cs="Times New Roman"/>
          <w:color w:val="000000" w:themeColor="text1"/>
          <w:sz w:val="24"/>
          <w:lang w:val="en-US" w:eastAsia="zh-CN"/>
          <w14:textFill>
            <w14:solidFill>
              <w14:schemeClr w14:val="tx1"/>
            </w14:solidFill>
          </w14:textFill>
        </w:rPr>
        <w:t>3</w:t>
      </w:r>
      <w:r>
        <w:rPr>
          <w:rFonts w:ascii="Times New Roman" w:hAnsi="Times New Roman" w:eastAsia="仿宋_GB2312" w:cs="Times New Roman"/>
          <w:color w:val="000000" w:themeColor="text1"/>
          <w:sz w:val="24"/>
          <w14:textFill>
            <w14:solidFill>
              <w14:schemeClr w14:val="tx1"/>
            </w14:solidFill>
          </w14:textFill>
        </w:rPr>
        <w:t>%,</w:t>
      </w:r>
      <w:r>
        <w:rPr>
          <w:rFonts w:hint="eastAsia" w:ascii="Times New Roman" w:hAnsi="Times New Roman" w:eastAsia="仿宋_GB2312" w:cs="Times New Roman"/>
          <w:color w:val="000000" w:themeColor="text1"/>
          <w:sz w:val="24"/>
          <w14:textFill>
            <w14:solidFill>
              <w14:schemeClr w14:val="tx1"/>
            </w14:solidFill>
          </w14:textFill>
        </w:rPr>
        <w:t>除表土保护率外，均</w:t>
      </w:r>
      <w:r>
        <w:rPr>
          <w:rFonts w:ascii="Times New Roman" w:hAnsi="Times New Roman" w:eastAsia="仿宋_GB2312" w:cs="Times New Roman"/>
          <w:color w:val="000000" w:themeColor="text1"/>
          <w:sz w:val="24"/>
          <w14:textFill>
            <w14:solidFill>
              <w14:schemeClr w14:val="tx1"/>
            </w14:solidFill>
          </w14:textFill>
        </w:rPr>
        <w:t>达到</w:t>
      </w:r>
      <w:r>
        <w:rPr>
          <w:rFonts w:hint="eastAsia" w:ascii="Times New Roman" w:hAnsi="Times New Roman" w:eastAsia="仿宋_GB2312" w:cs="Times New Roman"/>
          <w:color w:val="000000" w:themeColor="text1"/>
          <w:sz w:val="24"/>
          <w14:textFill>
            <w14:solidFill>
              <w14:schemeClr w14:val="tx1"/>
            </w14:solidFill>
          </w14:textFill>
        </w:rPr>
        <w:t>南方红壤</w:t>
      </w:r>
      <w:r>
        <w:rPr>
          <w:rFonts w:ascii="Times New Roman" w:hAnsi="Times New Roman" w:eastAsia="仿宋_GB2312" w:cs="Times New Roman"/>
          <w:color w:val="000000" w:themeColor="text1"/>
          <w:sz w:val="24"/>
          <w14:textFill>
            <w14:solidFill>
              <w14:schemeClr w14:val="tx1"/>
            </w14:solidFill>
          </w14:textFill>
        </w:rPr>
        <w:t>区</w:t>
      </w:r>
      <w:r>
        <w:rPr>
          <w:rFonts w:hint="eastAsia" w:ascii="Times New Roman" w:hAnsi="Times New Roman" w:eastAsia="仿宋_GB2312" w:cs="Times New Roman"/>
          <w:color w:val="000000" w:themeColor="text1"/>
          <w:sz w:val="24"/>
          <w14:textFill>
            <w14:solidFill>
              <w14:schemeClr w14:val="tx1"/>
            </w14:solidFill>
          </w14:textFill>
        </w:rPr>
        <w:t>二</w:t>
      </w:r>
      <w:r>
        <w:rPr>
          <w:rFonts w:ascii="Times New Roman" w:hAnsi="Times New Roman" w:eastAsia="仿宋_GB2312" w:cs="Times New Roman"/>
          <w:color w:val="000000" w:themeColor="text1"/>
          <w:sz w:val="24"/>
          <w14:textFill>
            <w14:solidFill>
              <w14:schemeClr w14:val="tx1"/>
            </w14:solidFill>
          </w14:textFill>
        </w:rPr>
        <w:t>级防治标准。</w:t>
      </w:r>
    </w:p>
    <w:p>
      <w:pPr>
        <w:spacing w:line="240" w:lineRule="auto"/>
        <w:ind w:firstLine="0" w:firstLineChars="0"/>
        <w:jc w:val="center"/>
        <w:rPr>
          <w:rFonts w:ascii="等线" w:hAnsi="等线" w:eastAsia="仿宋_GB2312" w:cs="Times New Roman"/>
          <w:b/>
          <w:bCs/>
          <w:color w:val="000000" w:themeColor="text1"/>
          <w:kern w:val="28"/>
          <w:sz w:val="21"/>
          <w:szCs w:val="32"/>
          <w14:textFill>
            <w14:solidFill>
              <w14:schemeClr w14:val="tx1"/>
            </w14:solidFill>
          </w14:textFill>
        </w:rPr>
      </w:pPr>
      <w:r>
        <w:rPr>
          <w:rFonts w:ascii="等线" w:hAnsi="等线" w:eastAsia="仿宋_GB2312" w:cs="Times New Roman"/>
          <w:b/>
          <w:bCs/>
          <w:color w:val="000000" w:themeColor="text1"/>
          <w:kern w:val="28"/>
          <w:sz w:val="21"/>
          <w:szCs w:val="32"/>
          <w14:textFill>
            <w14:solidFill>
              <w14:schemeClr w14:val="tx1"/>
            </w14:solidFill>
          </w14:textFill>
        </w:rPr>
        <w:t>表</w:t>
      </w:r>
      <w:r>
        <w:rPr>
          <w:rFonts w:hint="eastAsia" w:cs="Times New Roman"/>
          <w:b/>
          <w:bCs/>
          <w:color w:val="000000" w:themeColor="text1"/>
          <w:kern w:val="28"/>
          <w:sz w:val="21"/>
          <w:szCs w:val="32"/>
          <w:lang w:val="en-US" w:eastAsia="zh-CN"/>
          <w14:textFill>
            <w14:solidFill>
              <w14:schemeClr w14:val="tx1"/>
            </w14:solidFill>
          </w14:textFill>
        </w:rPr>
        <w:t>9</w:t>
      </w:r>
      <w:r>
        <w:rPr>
          <w:rFonts w:ascii="Times New Roman" w:hAnsi="Times New Roman" w:eastAsia="仿宋_GB2312" w:cs="Times New Roman"/>
          <w:b/>
          <w:bCs/>
          <w:color w:val="000000" w:themeColor="text1"/>
          <w:kern w:val="28"/>
          <w:sz w:val="21"/>
          <w:szCs w:val="32"/>
          <w14:textFill>
            <w14:solidFill>
              <w14:schemeClr w14:val="tx1"/>
            </w14:solidFill>
          </w14:textFill>
        </w:rPr>
        <w:t>-</w:t>
      </w:r>
      <w:r>
        <w:rPr>
          <w:rFonts w:hint="eastAsia" w:cs="Times New Roman"/>
          <w:b/>
          <w:bCs/>
          <w:color w:val="000000" w:themeColor="text1"/>
          <w:kern w:val="28"/>
          <w:sz w:val="21"/>
          <w:szCs w:val="32"/>
          <w:lang w:val="en-US" w:eastAsia="zh-CN"/>
          <w14:textFill>
            <w14:solidFill>
              <w14:schemeClr w14:val="tx1"/>
            </w14:solidFill>
          </w14:textFill>
        </w:rPr>
        <w:t>3</w:t>
      </w:r>
      <w:r>
        <w:rPr>
          <w:rFonts w:ascii="Times New Roman" w:hAnsi="Times New Roman" w:eastAsia="仿宋_GB2312" w:cs="Times New Roman"/>
          <w:b/>
          <w:bCs/>
          <w:color w:val="000000" w:themeColor="text1"/>
          <w:kern w:val="28"/>
          <w:sz w:val="21"/>
          <w:szCs w:val="32"/>
          <w14:textFill>
            <w14:solidFill>
              <w14:schemeClr w14:val="tx1"/>
            </w14:solidFill>
          </w14:textFill>
        </w:rPr>
        <w:t xml:space="preserve"> </w:t>
      </w:r>
      <w:r>
        <w:rPr>
          <w:rFonts w:ascii="等线" w:hAnsi="等线" w:eastAsia="仿宋_GB2312" w:cs="Times New Roman"/>
          <w:b/>
          <w:bCs/>
          <w:color w:val="000000" w:themeColor="text1"/>
          <w:kern w:val="28"/>
          <w:sz w:val="21"/>
          <w:szCs w:val="32"/>
          <w14:textFill>
            <w14:solidFill>
              <w14:schemeClr w14:val="tx1"/>
            </w14:solidFill>
          </w14:textFill>
        </w:rPr>
        <w:t xml:space="preserve"> 试运行期水土保持方案目标值实现情况评估表</w:t>
      </w:r>
    </w:p>
    <w:tbl>
      <w:tblPr>
        <w:tblStyle w:val="1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28"/>
        <w:gridCol w:w="1585"/>
        <w:gridCol w:w="1825"/>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3"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指标</w:t>
            </w:r>
          </w:p>
        </w:tc>
        <w:tc>
          <w:tcPr>
            <w:tcW w:w="930"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目标值</w:t>
            </w:r>
          </w:p>
        </w:tc>
        <w:tc>
          <w:tcPr>
            <w:tcW w:w="1071"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效果值</w:t>
            </w:r>
          </w:p>
        </w:tc>
        <w:tc>
          <w:tcPr>
            <w:tcW w:w="1045"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防治效果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3"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水土流失治理度（%）</w:t>
            </w:r>
          </w:p>
        </w:tc>
        <w:tc>
          <w:tcPr>
            <w:tcW w:w="930"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sz w:val="21"/>
                <w:szCs w:val="21"/>
                <w14:textFill>
                  <w14:solidFill>
                    <w14:schemeClr w14:val="tx1"/>
                  </w14:solidFill>
                </w14:textFill>
              </w:rPr>
              <w:t>95</w:t>
            </w:r>
          </w:p>
        </w:tc>
        <w:tc>
          <w:tcPr>
            <w:tcW w:w="1071"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sz w:val="21"/>
                <w:szCs w:val="21"/>
                <w14:textFill>
                  <w14:solidFill>
                    <w14:schemeClr w14:val="tx1"/>
                  </w14:solidFill>
                </w14:textFill>
              </w:rPr>
              <w:t>99.9</w:t>
            </w:r>
          </w:p>
        </w:tc>
        <w:tc>
          <w:tcPr>
            <w:tcW w:w="1045"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953"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土壤流失控制比</w:t>
            </w:r>
          </w:p>
        </w:tc>
        <w:tc>
          <w:tcPr>
            <w:tcW w:w="930"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sz w:val="21"/>
                <w:szCs w:val="21"/>
                <w14:textFill>
                  <w14:solidFill>
                    <w14:schemeClr w14:val="tx1"/>
                  </w14:solidFill>
                </w14:textFill>
              </w:rPr>
              <w:t>1.2</w:t>
            </w:r>
          </w:p>
        </w:tc>
        <w:tc>
          <w:tcPr>
            <w:tcW w:w="1071"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sz w:val="21"/>
                <w:szCs w:val="21"/>
                <w14:textFill>
                  <w14:solidFill>
                    <w14:schemeClr w14:val="tx1"/>
                  </w14:solidFill>
                </w14:textFill>
              </w:rPr>
              <w:t>1.4</w:t>
            </w:r>
          </w:p>
        </w:tc>
        <w:tc>
          <w:tcPr>
            <w:tcW w:w="1045"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3"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渣土防护率（%）</w:t>
            </w:r>
          </w:p>
        </w:tc>
        <w:tc>
          <w:tcPr>
            <w:tcW w:w="930"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sz w:val="21"/>
                <w:szCs w:val="21"/>
                <w14:textFill>
                  <w14:solidFill>
                    <w14:schemeClr w14:val="tx1"/>
                  </w14:solidFill>
                </w14:textFill>
              </w:rPr>
              <w:t>95</w:t>
            </w:r>
          </w:p>
        </w:tc>
        <w:tc>
          <w:tcPr>
            <w:tcW w:w="1071"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sz w:val="21"/>
                <w:szCs w:val="21"/>
                <w14:textFill>
                  <w14:solidFill>
                    <w14:schemeClr w14:val="tx1"/>
                  </w14:solidFill>
                </w14:textFill>
              </w:rPr>
              <w:t>99</w:t>
            </w:r>
          </w:p>
        </w:tc>
        <w:tc>
          <w:tcPr>
            <w:tcW w:w="1045"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3"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表土保护率（%）</w:t>
            </w:r>
          </w:p>
        </w:tc>
        <w:tc>
          <w:tcPr>
            <w:tcW w:w="930"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sz w:val="21"/>
                <w:szCs w:val="21"/>
              </w:rPr>
              <w:t>/</w:t>
            </w:r>
          </w:p>
        </w:tc>
        <w:tc>
          <w:tcPr>
            <w:tcW w:w="1071"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sz w:val="21"/>
                <w:szCs w:val="21"/>
              </w:rPr>
              <w:t>/</w:t>
            </w:r>
          </w:p>
        </w:tc>
        <w:tc>
          <w:tcPr>
            <w:tcW w:w="1045"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3"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林草植被恢复率（%）</w:t>
            </w:r>
          </w:p>
        </w:tc>
        <w:tc>
          <w:tcPr>
            <w:tcW w:w="930"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sz w:val="21"/>
                <w:szCs w:val="21"/>
                <w14:textFill>
                  <w14:solidFill>
                    <w14:schemeClr w14:val="tx1"/>
                  </w14:solidFill>
                </w14:textFill>
              </w:rPr>
              <w:t>95</w:t>
            </w:r>
          </w:p>
        </w:tc>
        <w:tc>
          <w:tcPr>
            <w:tcW w:w="1071"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hint="eastAsia" w:ascii="Times New Roman" w:hAnsi="Times New Roman" w:eastAsia="仿宋_GB2312" w:cs="Times New Roman"/>
                <w:color w:val="000000" w:themeColor="text1"/>
                <w:sz w:val="21"/>
                <w:szCs w:val="21"/>
                <w14:textFill>
                  <w14:solidFill>
                    <w14:schemeClr w14:val="tx1"/>
                  </w14:solidFill>
                </w14:textFill>
              </w:rPr>
              <w:t>95.2</w:t>
            </w:r>
          </w:p>
        </w:tc>
        <w:tc>
          <w:tcPr>
            <w:tcW w:w="1045"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53"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林草覆盖率（%）</w:t>
            </w:r>
          </w:p>
        </w:tc>
        <w:tc>
          <w:tcPr>
            <w:tcW w:w="930" w:type="pct"/>
            <w:vAlign w:val="center"/>
          </w:tcPr>
          <w:p>
            <w:pPr>
              <w:snapToGrid w:val="0"/>
              <w:spacing w:line="240" w:lineRule="auto"/>
              <w:ind w:firstLine="0" w:firstLineChars="0"/>
              <w:jc w:val="center"/>
              <w:rPr>
                <w:rFonts w:hint="eastAsia" w:ascii="Times New Roman" w:hAnsi="Times New Roman" w:eastAsia="仿宋_GB2312"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071" w:type="pct"/>
            <w:vAlign w:val="center"/>
          </w:tcPr>
          <w:p>
            <w:pPr>
              <w:snapToGrid w:val="0"/>
              <w:spacing w:line="240" w:lineRule="auto"/>
              <w:ind w:firstLine="0" w:firstLineChars="0"/>
              <w:jc w:val="center"/>
              <w:rPr>
                <w:rFonts w:hint="eastAsia" w:ascii="Times New Roman" w:hAnsi="Times New Roman" w:eastAsia="仿宋_GB2312"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lang w:val="en-US" w:eastAsia="zh-CN"/>
                <w14:textFill>
                  <w14:solidFill>
                    <w14:schemeClr w14:val="tx1"/>
                  </w14:solidFill>
                </w14:textFill>
              </w:rPr>
              <w:t>3</w:t>
            </w:r>
          </w:p>
        </w:tc>
        <w:tc>
          <w:tcPr>
            <w:tcW w:w="1045" w:type="pct"/>
            <w:vAlign w:val="center"/>
          </w:tcPr>
          <w:p>
            <w:pPr>
              <w:snapToGrid w:val="0"/>
              <w:spacing w:line="240" w:lineRule="auto"/>
              <w:ind w:firstLine="0" w:firstLineChars="0"/>
              <w:jc w:val="center"/>
              <w:rPr>
                <w:rFonts w:ascii="Times New Roman" w:hAnsi="Times New Roman" w:eastAsia="仿宋_GB2312" w:cs="Times New Roman"/>
                <w:color w:val="000000" w:themeColor="text1"/>
                <w:sz w:val="21"/>
                <w:szCs w:val="21"/>
                <w14:textFill>
                  <w14:solidFill>
                    <w14:schemeClr w14:val="tx1"/>
                  </w14:solidFill>
                </w14:textFill>
              </w:rPr>
            </w:pPr>
            <w:r>
              <w:rPr>
                <w:rFonts w:ascii="Times New Roman" w:hAnsi="Times New Roman" w:eastAsia="仿宋_GB2312" w:cs="Times New Roman"/>
                <w:color w:val="000000" w:themeColor="text1"/>
                <w:sz w:val="21"/>
                <w:szCs w:val="21"/>
                <w14:textFill>
                  <w14:solidFill>
                    <w14:schemeClr w14:val="tx1"/>
                  </w14:solidFill>
                </w14:textFill>
              </w:rPr>
              <w:t>达标</w:t>
            </w:r>
          </w:p>
        </w:tc>
      </w:tr>
    </w:tbl>
    <w:p>
      <w:pPr>
        <w:pStyle w:val="9"/>
        <w:rPr>
          <w:rFonts w:ascii="Times New Roman" w:hAnsi="Times New Roman" w:eastAsia="仿宋_GB2312" w:cs="Times New Roman"/>
          <w:sz w:val="24"/>
        </w:rPr>
      </w:pPr>
      <w:r>
        <w:rPr>
          <w:rFonts w:ascii="Times New Roman" w:hAnsi="Times New Roman" w:eastAsia="仿宋_GB2312" w:cs="Times New Roman"/>
          <w:sz w:val="24"/>
        </w:rPr>
        <w:t>本方案提出的各项水土保持措施实施之后，能够有效防治项目建设过程中造成的新增水土流失，各项水土流失防治目标得以实现，工程建设区域的水土流失得到有效防治</w:t>
      </w:r>
      <w:r>
        <w:rPr>
          <w:rFonts w:hint="eastAsia" w:ascii="Times New Roman" w:hAnsi="Times New Roman" w:eastAsia="仿宋_GB2312" w:cs="Times New Roman"/>
          <w:sz w:val="24"/>
        </w:rPr>
        <w:t>。至设计水平年，</w:t>
      </w:r>
      <w:r>
        <w:rPr>
          <w:rFonts w:ascii="Times New Roman" w:hAnsi="Times New Roman" w:eastAsia="仿宋_GB2312" w:cs="Times New Roman"/>
          <w:sz w:val="24"/>
        </w:rPr>
        <w:t>土壤侵蚀模数可降至</w:t>
      </w:r>
      <w:r>
        <w:rPr>
          <w:rFonts w:hint="eastAsia" w:ascii="Times New Roman" w:hAnsi="Times New Roman" w:eastAsia="仿宋_GB2312" w:cs="Times New Roman"/>
          <w:sz w:val="24"/>
        </w:rPr>
        <w:t>140</w:t>
      </w:r>
      <w:r>
        <w:rPr>
          <w:rFonts w:ascii="Times New Roman" w:hAnsi="Times New Roman" w:eastAsia="仿宋_GB2312" w:cs="Times New Roman"/>
          <w:sz w:val="24"/>
        </w:rPr>
        <w:t>t/</w:t>
      </w:r>
      <w:r>
        <w:rPr>
          <w:rFonts w:hint="eastAsia" w:ascii="Times New Roman" w:hAnsi="Times New Roman" w:eastAsia="仿宋_GB2312" w:cs="Times New Roman"/>
          <w:sz w:val="24"/>
        </w:rPr>
        <w:t>（</w:t>
      </w:r>
      <w:r>
        <w:rPr>
          <w:rFonts w:ascii="Times New Roman" w:hAnsi="Times New Roman" w:eastAsia="仿宋_GB2312" w:cs="Times New Roman"/>
          <w:sz w:val="24"/>
        </w:rPr>
        <w:t>km</w:t>
      </w:r>
      <w:r>
        <w:rPr>
          <w:rFonts w:ascii="Times New Roman" w:hAnsi="Times New Roman" w:eastAsia="仿宋_GB2312" w:cs="Times New Roman"/>
          <w:sz w:val="24"/>
          <w:vertAlign w:val="superscript"/>
        </w:rPr>
        <w:t>2</w:t>
      </w:r>
      <w:r>
        <w:rPr>
          <w:rFonts w:ascii="Times New Roman" w:hAnsi="Times New Roman" w:eastAsia="仿宋_GB2312" w:cs="Times New Roman"/>
          <w:sz w:val="24"/>
        </w:rPr>
        <w:t>.a</w:t>
      </w:r>
      <w:r>
        <w:rPr>
          <w:rFonts w:hint="eastAsia" w:ascii="Times New Roman" w:hAnsi="Times New Roman" w:eastAsia="仿宋_GB2312" w:cs="Times New Roman"/>
          <w:sz w:val="24"/>
        </w:rPr>
        <w:t>）</w:t>
      </w:r>
      <w:r>
        <w:rPr>
          <w:rFonts w:ascii="Times New Roman" w:hAnsi="Times New Roman" w:eastAsia="仿宋_GB2312" w:cs="Times New Roman"/>
          <w:sz w:val="24"/>
        </w:rPr>
        <w:t>以下，项目区林草覆盖率提高，可改善项目区生态自然环境；水土流失治理面积可达到</w:t>
      </w:r>
      <w:r>
        <w:rPr>
          <w:rFonts w:hint="eastAsia" w:ascii="Times New Roman" w:hAnsi="Times New Roman" w:cs="Times New Roman"/>
          <w:sz w:val="24"/>
          <w:lang w:val="en-US" w:eastAsia="zh-CN"/>
        </w:rPr>
        <w:t>2.88</w:t>
      </w:r>
      <w:r>
        <w:rPr>
          <w:rFonts w:ascii="Times New Roman" w:hAnsi="Times New Roman" w:eastAsia="仿宋_GB2312" w:cs="Times New Roman"/>
          <w:sz w:val="24"/>
        </w:rPr>
        <w:t>hm</w:t>
      </w:r>
      <w:r>
        <w:rPr>
          <w:rFonts w:hint="eastAsia" w:ascii="Times New Roman" w:hAnsi="Times New Roman" w:eastAsia="仿宋_GB2312" w:cs="Times New Roman"/>
          <w:sz w:val="24"/>
          <w:vertAlign w:val="superscript"/>
        </w:rPr>
        <w:t>2</w:t>
      </w:r>
      <w:r>
        <w:rPr>
          <w:rFonts w:ascii="Times New Roman" w:hAnsi="Times New Roman" w:eastAsia="仿宋_GB2312" w:cs="Times New Roman"/>
          <w:sz w:val="24"/>
        </w:rPr>
        <w:t>，林草植被建设面积可达到</w:t>
      </w:r>
      <w:r>
        <w:rPr>
          <w:rFonts w:hint="eastAsia" w:ascii="Times New Roman" w:hAnsi="Times New Roman" w:cs="Times New Roman"/>
          <w:sz w:val="24"/>
          <w:lang w:val="en-US" w:eastAsia="zh-CN"/>
        </w:rPr>
        <w:t>0.09</w:t>
      </w:r>
      <w:r>
        <w:rPr>
          <w:rFonts w:ascii="Times New Roman" w:hAnsi="Times New Roman" w:eastAsia="仿宋_GB2312" w:cs="Times New Roman"/>
          <w:sz w:val="24"/>
        </w:rPr>
        <w:t>hm</w:t>
      </w:r>
      <w:r>
        <w:rPr>
          <w:rFonts w:ascii="Times New Roman" w:hAnsi="Times New Roman" w:eastAsia="仿宋_GB2312" w:cs="Times New Roman"/>
          <w:sz w:val="24"/>
          <w:vertAlign w:val="superscript"/>
        </w:rPr>
        <w:t>2</w:t>
      </w:r>
      <w:r>
        <w:rPr>
          <w:rFonts w:ascii="Times New Roman" w:hAnsi="Times New Roman" w:eastAsia="仿宋_GB2312" w:cs="Times New Roman"/>
          <w:sz w:val="24"/>
        </w:rPr>
        <w:t>，可减少水土流失</w:t>
      </w:r>
      <w:r>
        <w:rPr>
          <w:rFonts w:hint="eastAsia" w:ascii="Times New Roman" w:hAnsi="Times New Roman" w:eastAsia="仿宋_GB2312" w:cs="Times New Roman"/>
          <w:sz w:val="24"/>
        </w:rPr>
        <w:t>量</w:t>
      </w:r>
      <w:r>
        <w:rPr>
          <w:rFonts w:hint="eastAsia" w:ascii="Times New Roman" w:hAnsi="Times New Roman" w:cs="Times New Roman"/>
          <w:sz w:val="24"/>
          <w:lang w:val="en-US" w:eastAsia="zh-CN"/>
        </w:rPr>
        <w:t>2.5</w:t>
      </w:r>
      <w:r>
        <w:rPr>
          <w:rFonts w:ascii="Times New Roman" w:hAnsi="Times New Roman" w:eastAsia="仿宋_GB2312" w:cs="Times New Roman"/>
          <w:sz w:val="24"/>
        </w:rPr>
        <w:t>t。</w:t>
      </w:r>
    </w:p>
    <w:p>
      <w:pPr>
        <w:pStyle w:val="3"/>
        <w:rPr>
          <w:rFonts w:hint="eastAsia"/>
          <w:lang w:val="en-US" w:eastAsia="zh-CN"/>
        </w:rPr>
      </w:pPr>
      <w:r>
        <w:rPr>
          <w:rFonts w:hint="eastAsia"/>
          <w:lang w:val="en-US" w:eastAsia="zh-CN"/>
        </w:rPr>
        <w:t>10.水土保持管理</w:t>
      </w:r>
    </w:p>
    <w:p>
      <w:pPr>
        <w:pStyle w:val="4"/>
        <w:rPr>
          <w:rFonts w:hint="eastAsia"/>
          <w:lang w:val="en-US" w:eastAsia="zh-CN"/>
        </w:rPr>
      </w:pPr>
      <w:r>
        <w:rPr>
          <w:rFonts w:hint="eastAsia"/>
          <w:lang w:val="en-US" w:eastAsia="zh-CN"/>
        </w:rPr>
        <w:t>10.1 组织管理</w:t>
      </w:r>
    </w:p>
    <w:p>
      <w:pPr>
        <w:pStyle w:val="14"/>
        <w:spacing w:line="360" w:lineRule="auto"/>
        <w:ind w:left="0" w:leftChars="0" w:firstLine="480"/>
        <w:rPr>
          <w:sz w:val="24"/>
          <w:szCs w:val="24"/>
        </w:rPr>
      </w:pPr>
      <w:r>
        <w:rPr>
          <w:rFonts w:hint="eastAsia"/>
          <w:sz w:val="24"/>
          <w:szCs w:val="24"/>
        </w:rPr>
        <w:t>根据有关国家法律法规，本项目实行承诺制管理，建设单位已组织成立水土保持方案实施管理机构，建立健全了水土保持管理的有关规章制度，建立了水土保持工程档案。并设专人负责水土保持工作，协调水土保持方案与主体工程的关系，负责水土保持工程的组织实施和检查指导工作，全力保证该项目的水土保持工作按年度、按计划进行，并主动与当地水行政主管部门密切配合，自觉接受地方水行政主管部门的监督检查。</w:t>
      </w:r>
    </w:p>
    <w:p>
      <w:pPr>
        <w:pStyle w:val="4"/>
        <w:rPr>
          <w:rFonts w:hint="eastAsia"/>
          <w:lang w:val="en-US" w:eastAsia="zh-CN"/>
        </w:rPr>
      </w:pPr>
      <w:r>
        <w:rPr>
          <w:rFonts w:hint="eastAsia"/>
          <w:lang w:val="en-US" w:eastAsia="zh-CN"/>
        </w:rPr>
        <w:t>10.2 水土保持监测</w:t>
      </w:r>
    </w:p>
    <w:p>
      <w:pPr>
        <w:pStyle w:val="14"/>
        <w:spacing w:line="360" w:lineRule="auto"/>
        <w:ind w:left="0" w:leftChars="0" w:firstLine="480"/>
        <w:rPr>
          <w:sz w:val="24"/>
          <w:szCs w:val="24"/>
        </w:rPr>
      </w:pPr>
      <w:r>
        <w:rPr>
          <w:rFonts w:hint="eastAsia"/>
          <w:sz w:val="24"/>
          <w:szCs w:val="24"/>
        </w:rPr>
        <w:t>根据《水利部关于进一步深化“放管服”改革全面加强水土保持监管的意见》（水保﹝2019﹞160号）要求，对方案报告表项目实行承诺制管理，建设单位在施工过程中自行做好监测工作，监测数据作为验收依据，不需提供水土保持监测总结报告。</w:t>
      </w:r>
    </w:p>
    <w:p>
      <w:pPr>
        <w:pStyle w:val="4"/>
        <w:rPr>
          <w:rFonts w:hint="eastAsia"/>
          <w:lang w:val="en-US" w:eastAsia="zh-CN"/>
        </w:rPr>
      </w:pPr>
      <w:r>
        <w:rPr>
          <w:rFonts w:hint="eastAsia"/>
          <w:lang w:val="en-US" w:eastAsia="zh-CN"/>
        </w:rPr>
        <w:t>10.3 水土保持工程监理</w:t>
      </w:r>
    </w:p>
    <w:p>
      <w:pPr>
        <w:pStyle w:val="14"/>
        <w:spacing w:line="360" w:lineRule="auto"/>
        <w:ind w:left="0" w:leftChars="0" w:firstLine="480"/>
        <w:rPr>
          <w:sz w:val="24"/>
          <w:szCs w:val="24"/>
        </w:rPr>
      </w:pPr>
      <w:r>
        <w:rPr>
          <w:rFonts w:hint="eastAsia"/>
          <w:sz w:val="24"/>
          <w:szCs w:val="24"/>
        </w:rPr>
        <w:t>可委托主体工程监理代为水土保持监理。</w:t>
      </w:r>
    </w:p>
    <w:p>
      <w:pPr>
        <w:pStyle w:val="4"/>
        <w:rPr>
          <w:rFonts w:hint="eastAsia"/>
          <w:lang w:val="en-US" w:eastAsia="zh-CN"/>
        </w:rPr>
      </w:pPr>
      <w:r>
        <w:rPr>
          <w:rFonts w:hint="eastAsia"/>
          <w:lang w:val="en-US" w:eastAsia="zh-CN"/>
        </w:rPr>
        <w:t>10.4 水土保持施工</w:t>
      </w:r>
    </w:p>
    <w:p>
      <w:pPr>
        <w:pStyle w:val="14"/>
        <w:spacing w:line="360" w:lineRule="auto"/>
        <w:ind w:left="0" w:leftChars="0" w:firstLine="480"/>
        <w:rPr>
          <w:sz w:val="24"/>
          <w:szCs w:val="24"/>
        </w:rPr>
      </w:pPr>
      <w:r>
        <w:rPr>
          <w:rFonts w:hint="eastAsia"/>
          <w:sz w:val="24"/>
          <w:szCs w:val="24"/>
        </w:rPr>
        <w:t>在工程建设中应严格按照批准的水土保持工程方案施工，严格执行《生产建设项目水土流失防治标准》。工程中的水土保持方案，应视同主体工程一样，按照现行的要求执行。在工程的招标书中应针对不同的标段提出水土保持的要求，将其写入招标合同文本，明确承包商应承担的防治水土流失的责任。当工程必须外购土石料时，在与供料商签订的合同中，必须明确连带的水土流失防治责任。</w:t>
      </w:r>
    </w:p>
    <w:p>
      <w:pPr>
        <w:pStyle w:val="4"/>
        <w:rPr>
          <w:rFonts w:hint="eastAsia"/>
          <w:lang w:val="en-US" w:eastAsia="zh-CN"/>
        </w:rPr>
      </w:pPr>
      <w:r>
        <w:rPr>
          <w:rFonts w:hint="eastAsia"/>
          <w:lang w:val="en-US" w:eastAsia="zh-CN"/>
        </w:rPr>
        <w:t>10.5水土保持设施验收</w:t>
      </w:r>
    </w:p>
    <w:p>
      <w:pPr>
        <w:pStyle w:val="14"/>
        <w:spacing w:line="360" w:lineRule="auto"/>
        <w:ind w:left="0" w:leftChars="0" w:firstLine="480"/>
      </w:pPr>
      <w:r>
        <w:rPr>
          <w:rFonts w:hint="eastAsia"/>
          <w:sz w:val="24"/>
          <w:szCs w:val="24"/>
        </w:rPr>
        <w:t>根据《国务院关于取消一批行政许可事项的决定》（国发〔2017〕46 号）及《水利部关于加强事中事后监管规范生产建设项目水土保持设施自主验收的通知》（水保〔2017〕365 号），取消了各级水行政主管部门实施的生产建设项目水土保持设施验收审批行政许可事项，转为生产建设单位按照有关要求自主开展水土保持设施验收，验收组成员中至少由一名省级水土保持专家库中的专家参加。依据《水利部关于进一步深化“放管服”改革全面加强水土保持监管的意见》(水保[2019]160号）文规定，报告表项目在工程竣工后建设单位应及时向水行政主管部门报送验收鉴定书。项目水土保持设施没有验收，不能投入使用。</w:t>
      </w:r>
    </w:p>
    <w:p>
      <w:pPr>
        <w:pStyle w:val="9"/>
        <w:rPr>
          <w:rFonts w:ascii="Times New Roman" w:hAnsi="Times New Roman" w:eastAsia="仿宋_GB2312" w:cs="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NLPDJF+XB2991068">
    <w:altName w:val="Arial"/>
    <w:panose1 w:val="00000000000000000000"/>
    <w:charset w:val="00"/>
    <w:family w:val="swiss"/>
    <w:pitch w:val="default"/>
    <w:sig w:usb0="00000000" w:usb1="00000000" w:usb2="00000000" w:usb3="00000000" w:csb0="00000001" w:csb1="00000000"/>
  </w:font>
  <w:font w:name="仿宋">
    <w:altName w:val="微软雅黑"/>
    <w:panose1 w:val="02010609060101010101"/>
    <w:charset w:val="86"/>
    <w:family w:val="auto"/>
    <w:pitch w:val="default"/>
    <w:sig w:usb0="00000000" w:usb1="00000000" w:usb2="00000016" w:usb3="00000000" w:csb0="00040001" w:csb1="00000000"/>
  </w:font>
  <w:font w:name="Calibri">
    <w:panose1 w:val="020F0502020204030204"/>
    <w:charset w:val="86"/>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 w:name="Arial">
    <w:panose1 w:val="020B0604020202020204"/>
    <w:charset w:val="00"/>
    <w:family w:val="swiss"/>
    <w:pitch w:val="default"/>
    <w:sig w:usb0="E0002E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6989954"/>
    <w:multiLevelType w:val="singleLevel"/>
    <w:tmpl w:val="B6989954"/>
    <w:lvl w:ilvl="0" w:tentative="0">
      <w:start w:val="2"/>
      <w:numFmt w:val="decimal"/>
      <w:suff w:val="nothing"/>
      <w:lvlText w:val="（%1）"/>
      <w:lvlJc w:val="left"/>
    </w:lvl>
  </w:abstractNum>
  <w:abstractNum w:abstractNumId="1">
    <w:nsid w:val="C3C4F660"/>
    <w:multiLevelType w:val="multilevel"/>
    <w:tmpl w:val="C3C4F660"/>
    <w:lvl w:ilvl="0" w:tentative="0">
      <w:start w:val="1"/>
      <w:numFmt w:val="decimal"/>
      <w:lvlText w:val="%1."/>
      <w:lvlJc w:val="left"/>
      <w:pPr>
        <w:ind w:left="432" w:hanging="432"/>
      </w:pPr>
      <w:rPr>
        <w:rFonts w:hint="default"/>
      </w:rPr>
    </w:lvl>
    <w:lvl w:ilvl="1" w:tentative="0">
      <w:start w:val="1"/>
      <w:numFmt w:val="decimal"/>
      <w:lvlText w:val="%1.%2."/>
      <w:lvlJc w:val="left"/>
      <w:pPr>
        <w:ind w:left="575" w:hanging="575"/>
      </w:pPr>
      <w:rPr>
        <w:rFonts w:hint="default"/>
      </w:rPr>
    </w:lvl>
    <w:lvl w:ilvl="2" w:tentative="0">
      <w:start w:val="1"/>
      <w:numFmt w:val="decimal"/>
      <w:pStyle w:val="5"/>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2">
    <w:nsid w:val="FF9425A9"/>
    <w:multiLevelType w:val="singleLevel"/>
    <w:tmpl w:val="FF9425A9"/>
    <w:lvl w:ilvl="0" w:tentative="0">
      <w:start w:val="1"/>
      <w:numFmt w:val="chineseCounting"/>
      <w:suff w:val="nothing"/>
      <w:lvlText w:val="%1、"/>
      <w:lvlJc w:val="left"/>
      <w:rPr>
        <w:rFonts w:hint="eastAsia"/>
      </w:rPr>
    </w:lvl>
  </w:abstractNum>
  <w:abstractNum w:abstractNumId="3">
    <w:nsid w:val="185AB06E"/>
    <w:multiLevelType w:val="singleLevel"/>
    <w:tmpl w:val="185AB06E"/>
    <w:lvl w:ilvl="0" w:tentative="0">
      <w:start w:val="2"/>
      <w:numFmt w:val="decimal"/>
      <w:suff w:val="nothing"/>
      <w:lvlText w:val="（%1）"/>
      <w:lvlJc w:val="left"/>
    </w:lvl>
  </w:abstractNum>
  <w:abstractNum w:abstractNumId="4">
    <w:nsid w:val="37E8ECE6"/>
    <w:multiLevelType w:val="singleLevel"/>
    <w:tmpl w:val="37E8ECE6"/>
    <w:lvl w:ilvl="0" w:tentative="0">
      <w:start w:val="1"/>
      <w:numFmt w:val="decimal"/>
      <w:suff w:val="nothing"/>
      <w:lvlText w:val="%1）"/>
      <w:lvlJc w:val="left"/>
    </w:lvl>
  </w:abstractNum>
  <w:abstractNum w:abstractNumId="5">
    <w:nsid w:val="3C0E38B0"/>
    <w:multiLevelType w:val="singleLevel"/>
    <w:tmpl w:val="3C0E38B0"/>
    <w:lvl w:ilvl="0" w:tentative="0">
      <w:start w:val="1"/>
      <w:numFmt w:val="chineseCounting"/>
      <w:suff w:val="nothing"/>
      <w:lvlText w:val="%1、"/>
      <w:lvlJc w:val="left"/>
      <w:rPr>
        <w:rFonts w:hint="eastAsia"/>
      </w:rPr>
    </w:lvl>
  </w:abstractNum>
  <w:num w:numId="1">
    <w:abstractNumId w:val="1"/>
  </w:num>
  <w:num w:numId="2">
    <w:abstractNumId w:val="5"/>
  </w:num>
  <w:num w:numId="3">
    <w:abstractNumId w:val="2"/>
  </w:num>
  <w:num w:numId="4">
    <w:abstractNumId w:val="3"/>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8D65B9"/>
    <w:rsid w:val="03B10757"/>
    <w:rsid w:val="0BE06A39"/>
    <w:rsid w:val="128D65B9"/>
    <w:rsid w:val="238634C1"/>
    <w:rsid w:val="2DAE79F2"/>
    <w:rsid w:val="5938585A"/>
    <w:rsid w:val="59A62617"/>
    <w:rsid w:val="5C677619"/>
    <w:rsid w:val="6E7256A1"/>
    <w:rsid w:val="7B501EDA"/>
    <w:rsid w:val="7C2B7D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Times New Roman" w:hAnsi="Times New Roman" w:eastAsia="仿宋_GB2312" w:cstheme="minorBidi"/>
      <w:kern w:val="2"/>
      <w:sz w:val="24"/>
      <w:szCs w:val="22"/>
      <w:lang w:val="en-US" w:eastAsia="zh-CN" w:bidi="ar-SA"/>
    </w:rPr>
  </w:style>
  <w:style w:type="paragraph" w:styleId="3">
    <w:name w:val="heading 1"/>
    <w:basedOn w:val="1"/>
    <w:next w:val="1"/>
    <w:qFormat/>
    <w:uiPriority w:val="9"/>
    <w:pPr>
      <w:keepNext/>
      <w:keepLines/>
      <w:spacing w:before="40" w:after="40" w:line="240" w:lineRule="auto"/>
      <w:ind w:firstLine="0" w:firstLineChars="0"/>
      <w:outlineLvl w:val="0"/>
    </w:pPr>
    <w:rPr>
      <w:b/>
      <w:bCs/>
      <w:kern w:val="44"/>
      <w:sz w:val="30"/>
      <w:szCs w:val="44"/>
    </w:rPr>
  </w:style>
  <w:style w:type="paragraph" w:styleId="4">
    <w:name w:val="heading 2"/>
    <w:basedOn w:val="1"/>
    <w:next w:val="5"/>
    <w:unhideWhenUsed/>
    <w:qFormat/>
    <w:uiPriority w:val="9"/>
    <w:pPr>
      <w:keepNext/>
      <w:keepLines/>
      <w:ind w:firstLine="0" w:firstLineChars="0"/>
      <w:outlineLvl w:val="1"/>
    </w:pPr>
    <w:rPr>
      <w:rFonts w:cstheme="majorBidi"/>
      <w:b/>
      <w:bCs/>
      <w:sz w:val="28"/>
      <w:szCs w:val="32"/>
    </w:rPr>
  </w:style>
  <w:style w:type="paragraph" w:styleId="5">
    <w:name w:val="heading 3"/>
    <w:basedOn w:val="1"/>
    <w:next w:val="1"/>
    <w:unhideWhenUsed/>
    <w:qFormat/>
    <w:uiPriority w:val="9"/>
    <w:pPr>
      <w:keepNext/>
      <w:keepLines/>
      <w:numPr>
        <w:ilvl w:val="2"/>
        <w:numId w:val="1"/>
      </w:numPr>
      <w:spacing w:after="50" w:afterLines="50" w:line="360" w:lineRule="auto"/>
      <w:ind w:left="0" w:firstLine="0"/>
      <w:outlineLvl w:val="2"/>
    </w:pPr>
    <w:rPr>
      <w:b/>
      <w:bCs/>
      <w:sz w:val="24"/>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eastAsia="黑体" w:cs="Arial"/>
      <w:bCs/>
      <w:kern w:val="2"/>
      <w:sz w:val="36"/>
      <w:szCs w:val="32"/>
    </w:rPr>
  </w:style>
  <w:style w:type="paragraph" w:styleId="6">
    <w:name w:val="Normal Indent"/>
    <w:basedOn w:val="1"/>
    <w:semiHidden/>
    <w:unhideWhenUsed/>
    <w:qFormat/>
    <w:uiPriority w:val="99"/>
    <w:pPr>
      <w:ind w:firstLine="420" w:firstLineChars="200"/>
    </w:pPr>
  </w:style>
  <w:style w:type="paragraph" w:styleId="7">
    <w:name w:val="Body Text Indent"/>
    <w:basedOn w:val="1"/>
    <w:next w:val="8"/>
    <w:semiHidden/>
    <w:unhideWhenUsed/>
    <w:qFormat/>
    <w:uiPriority w:val="99"/>
    <w:pPr>
      <w:ind w:left="420" w:leftChars="200"/>
    </w:pPr>
  </w:style>
  <w:style w:type="paragraph" w:styleId="8">
    <w:name w:val="Body Text Indent 2"/>
    <w:basedOn w:val="1"/>
    <w:qFormat/>
    <w:uiPriority w:val="0"/>
    <w:pPr>
      <w:spacing w:after="120" w:line="480" w:lineRule="auto"/>
      <w:ind w:left="420" w:leftChars="200"/>
    </w:pPr>
  </w:style>
  <w:style w:type="paragraph" w:styleId="9">
    <w:name w:val="Plain Text"/>
    <w:basedOn w:val="1"/>
    <w:qFormat/>
    <w:uiPriority w:val="0"/>
    <w:pPr>
      <w:ind w:firstLine="1120"/>
    </w:pPr>
    <w:rPr>
      <w:rFonts w:ascii="宋体" w:hAnsi="Courier New" w:cs="Times New Roman"/>
      <w:szCs w:val="20"/>
    </w:rPr>
  </w:style>
  <w:style w:type="paragraph" w:styleId="10">
    <w:name w:val="toc 1"/>
    <w:basedOn w:val="11"/>
    <w:next w:val="11"/>
    <w:unhideWhenUsed/>
    <w:qFormat/>
    <w:uiPriority w:val="39"/>
  </w:style>
  <w:style w:type="paragraph" w:customStyle="1" w:styleId="11">
    <w:name w:val="Default"/>
    <w:qFormat/>
    <w:uiPriority w:val="99"/>
    <w:pPr>
      <w:widowControl w:val="0"/>
      <w:autoSpaceDE w:val="0"/>
      <w:autoSpaceDN w:val="0"/>
      <w:adjustRightInd w:val="0"/>
    </w:pPr>
    <w:rPr>
      <w:rFonts w:ascii="NLPDJF+XB2991068" w:hAnsi="NLPDJF+XB2991068" w:eastAsiaTheme="minorEastAsia" w:cstheme="minorBidi"/>
      <w:color w:val="000000"/>
      <w:kern w:val="2"/>
      <w:sz w:val="24"/>
      <w:szCs w:val="24"/>
      <w:lang w:val="en-US" w:eastAsia="zh-CN" w:bidi="ar-SA"/>
    </w:rPr>
  </w:style>
  <w:style w:type="paragraph" w:styleId="12">
    <w:name w:val="Subtitle"/>
    <w:basedOn w:val="1"/>
    <w:next w:val="1"/>
    <w:qFormat/>
    <w:uiPriority w:val="0"/>
    <w:pPr>
      <w:ind w:firstLine="0" w:firstLineChars="0"/>
      <w:jc w:val="center"/>
    </w:pPr>
    <w:rPr>
      <w:b/>
      <w:bCs/>
      <w:kern w:val="28"/>
      <w:sz w:val="21"/>
      <w:szCs w:val="32"/>
    </w:rPr>
  </w:style>
  <w:style w:type="paragraph" w:styleId="13">
    <w:name w:val="Normal (Web)"/>
    <w:basedOn w:val="1"/>
    <w:unhideWhenUsed/>
    <w:qFormat/>
    <w:uiPriority w:val="99"/>
    <w:rPr>
      <w:rFonts w:ascii="Times New Roman" w:hAnsi="Times New Roman" w:eastAsia="宋体" w:cs="Times New Roman"/>
      <w:sz w:val="24"/>
      <w:szCs w:val="20"/>
    </w:rPr>
  </w:style>
  <w:style w:type="paragraph" w:styleId="14">
    <w:name w:val="Body Text First Indent 2"/>
    <w:basedOn w:val="7"/>
    <w:semiHidden/>
    <w:unhideWhenUsed/>
    <w:qFormat/>
    <w:uiPriority w:val="99"/>
    <w:pPr>
      <w:ind w:firstLine="420" w:firstLineChars="2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报告书正文"/>
    <w:basedOn w:val="1"/>
    <w:qFormat/>
    <w:uiPriority w:val="0"/>
    <w:pPr>
      <w:spacing w:line="300" w:lineRule="auto"/>
      <w:ind w:firstLine="480"/>
    </w:pPr>
    <w:rPr>
      <w:rFonts w:cs="Times New Roman"/>
      <w:szCs w:val="20"/>
    </w:rPr>
  </w:style>
  <w:style w:type="paragraph" w:customStyle="1" w:styleId="19">
    <w:name w:val="正文cf"/>
    <w:basedOn w:val="1"/>
    <w:qFormat/>
    <w:uiPriority w:val="0"/>
    <w:pPr>
      <w:adjustRightInd w:val="0"/>
      <w:snapToGrid w:val="0"/>
      <w:spacing w:line="360" w:lineRule="auto"/>
      <w:ind w:firstLine="482"/>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2020-09-27T07:59:00Z</dcterms:created>
  <dc:creator>程炯</dc:creator>
  <cp:lastModifiedBy>程炯</cp:lastModifiedBy>
  <dcterms:modified xsi:type="dcterms:W3CDTF">2020-11-03T02:57:29Z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